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9A358" w14:textId="77777777" w:rsidR="001B2725" w:rsidRDefault="007146E6">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149C0D2F" w14:textId="77777777" w:rsidR="001B2725" w:rsidRDefault="001B2725">
      <w:pPr>
        <w:rPr>
          <w:rFonts w:asciiTheme="minorHAnsi" w:hAnsiTheme="minorHAnsi"/>
          <w:bCs/>
          <w:sz w:val="22"/>
          <w:szCs w:val="22"/>
        </w:rPr>
      </w:pPr>
    </w:p>
    <w:p w14:paraId="41B28FFA" w14:textId="77777777" w:rsidR="001B2725" w:rsidRDefault="007146E6">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8" w:tgtFrame="_blank">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\h </w:instrText>
      </w:r>
      <w: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Style w:val="Hyper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7A4A43BB" w14:textId="77777777" w:rsidR="001B2725" w:rsidRDefault="001B2725">
      <w:pPr>
        <w:rPr>
          <w:rFonts w:asciiTheme="minorHAnsi" w:hAnsiTheme="minorHAnsi"/>
          <w:bCs/>
        </w:rPr>
      </w:pPr>
    </w:p>
    <w:p w14:paraId="0E155BF1" w14:textId="77777777" w:rsidR="001B2725" w:rsidRDefault="007146E6">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Hyperlink"/>
            <w:rFonts w:asciiTheme="minorHAnsi" w:hAnsiTheme="minorHAnsi"/>
            <w:bCs/>
            <w:sz w:val="22"/>
            <w:szCs w:val="22"/>
          </w:rPr>
          <w:t>editorial@elifesciences.org</w:t>
        </w:r>
      </w:hyperlink>
      <w:r>
        <w:rPr>
          <w:rFonts w:asciiTheme="minorHAnsi" w:hAnsiTheme="minorHAnsi"/>
          <w:bCs/>
          <w:sz w:val="22"/>
          <w:szCs w:val="22"/>
        </w:rPr>
        <w:t>.</w:t>
      </w:r>
    </w:p>
    <w:p w14:paraId="6474DB87" w14:textId="77777777" w:rsidR="001B2725" w:rsidRDefault="001B2725">
      <w:pPr>
        <w:rPr>
          <w:rFonts w:asciiTheme="minorHAnsi" w:hAnsiTheme="minorHAnsi"/>
          <w:b/>
          <w:bCs/>
          <w:color w:val="3366FF"/>
          <w:sz w:val="22"/>
          <w:szCs w:val="22"/>
        </w:rPr>
      </w:pPr>
    </w:p>
    <w:p w14:paraId="7216C5F9" w14:textId="77777777" w:rsidR="001B2725" w:rsidRDefault="007146E6">
      <w:pPr>
        <w:rPr>
          <w:rFonts w:asciiTheme="minorHAnsi" w:hAnsiTheme="minorHAnsi"/>
          <w:sz w:val="22"/>
          <w:szCs w:val="22"/>
        </w:rPr>
      </w:pPr>
      <w:r>
        <w:rPr>
          <w:rFonts w:asciiTheme="minorHAnsi" w:hAnsiTheme="minorHAnsi"/>
          <w:b/>
          <w:bCs/>
          <w:sz w:val="22"/>
          <w:szCs w:val="22"/>
        </w:rPr>
        <w:t>Sample-size estimation</w:t>
      </w:r>
    </w:p>
    <w:p w14:paraId="6EB5CBED" w14:textId="77777777" w:rsidR="001B2725" w:rsidRDefault="007146E6">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4F5D47A5" w14:textId="77777777" w:rsidR="001B2725" w:rsidRDefault="007146E6">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48926B38" w14:textId="77777777" w:rsidR="001B2725" w:rsidRDefault="007146E6">
      <w:pPr>
        <w:pStyle w:val="ListParagraph"/>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34281ADC" w14:textId="77777777" w:rsidR="001B2725" w:rsidRDefault="001B2725">
      <w:pPr>
        <w:rPr>
          <w:rFonts w:asciiTheme="minorHAnsi" w:hAnsiTheme="minorHAnsi"/>
          <w:sz w:val="16"/>
          <w:szCs w:val="16"/>
          <w:lang w:val="en-GB"/>
        </w:rPr>
      </w:pPr>
    </w:p>
    <w:p w14:paraId="019B49C2" w14:textId="77777777" w:rsidR="001B2725" w:rsidRDefault="007146E6">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3D69572B" w14:textId="77777777" w:rsidR="001B2725" w:rsidRDefault="001B2725">
      <w:pPr>
        <w:rPr>
          <w:rFonts w:asciiTheme="minorHAnsi" w:hAnsiTheme="minorHAnsi"/>
          <w:sz w:val="22"/>
          <w:szCs w:val="22"/>
          <w:lang w:val="en-GB"/>
        </w:rPr>
      </w:pPr>
    </w:p>
    <w:p w14:paraId="0D41CF3D" w14:textId="77777777" w:rsidR="001B2725" w:rsidRPr="002F2174" w:rsidRDefault="007146E6">
      <w:pPr>
        <w:framePr w:w="7817" w:h="3626" w:hRule="exact" w:wrap="auto" w:vAnchor="text" w:hAnchor="page" w:x="1858" w:y="1"/>
        <w:rPr>
          <w:rFonts w:asciiTheme="minorHAnsi" w:hAnsiTheme="minorHAnsi"/>
          <w:i/>
          <w:iCs/>
          <w:sz w:val="22"/>
          <w:szCs w:val="22"/>
        </w:rPr>
      </w:pPr>
      <w:r w:rsidRPr="002F2174">
        <w:rPr>
          <w:rFonts w:asciiTheme="minorHAnsi" w:hAnsiTheme="minorHAnsi"/>
          <w:i/>
          <w:iCs/>
          <w:sz w:val="22"/>
          <w:szCs w:val="22"/>
        </w:rPr>
        <w:t xml:space="preserve">In this study, two species were sampled for developmental transcriptomic analysis. No explicit prior power analysis was carried out. Instead, we took the experimental layouts of several published developmental transcriptome studies from the literature as examples, where 3-5 samples from fruiting body were commonly taken. </w:t>
      </w:r>
    </w:p>
    <w:p w14:paraId="30B80218" w14:textId="3BEE86BB" w:rsidR="001B2725" w:rsidRPr="002F2174" w:rsidRDefault="007146E6">
      <w:pPr>
        <w:framePr w:w="7817" w:h="3626" w:hRule="exact" w:wrap="auto" w:vAnchor="text" w:hAnchor="page" w:x="1858" w:y="1"/>
        <w:rPr>
          <w:rFonts w:asciiTheme="minorHAnsi" w:hAnsiTheme="minorHAnsi"/>
          <w:i/>
          <w:iCs/>
          <w:sz w:val="22"/>
          <w:szCs w:val="22"/>
        </w:rPr>
      </w:pPr>
      <w:r w:rsidRPr="002F2174">
        <w:rPr>
          <w:rFonts w:asciiTheme="minorHAnsi" w:hAnsiTheme="minorHAnsi"/>
          <w:i/>
          <w:iCs/>
          <w:sz w:val="22"/>
          <w:szCs w:val="22"/>
        </w:rPr>
        <w:t xml:space="preserve">Pterula </w:t>
      </w:r>
      <w:bookmarkStart w:id="0" w:name="%3A9a.co"/>
      <w:bookmarkEnd w:id="0"/>
      <w:r w:rsidRPr="002F2174">
        <w:rPr>
          <w:rFonts w:asciiTheme="minorHAnsi" w:hAnsiTheme="minorHAnsi"/>
          <w:i/>
          <w:iCs/>
          <w:sz w:val="22"/>
          <w:szCs w:val="22"/>
        </w:rPr>
        <w:t>gracilis, with a very simple morphology</w:t>
      </w:r>
      <w:r w:rsidR="002F2174">
        <w:rPr>
          <w:rFonts w:asciiTheme="minorHAnsi" w:hAnsiTheme="minorHAnsi"/>
          <w:i/>
          <w:iCs/>
          <w:sz w:val="22"/>
          <w:szCs w:val="22"/>
        </w:rPr>
        <w:t>,</w:t>
      </w:r>
      <w:r w:rsidRPr="002F2174">
        <w:rPr>
          <w:rFonts w:asciiTheme="minorHAnsi" w:hAnsiTheme="minorHAnsi"/>
          <w:i/>
          <w:iCs/>
          <w:sz w:val="22"/>
          <w:szCs w:val="22"/>
        </w:rPr>
        <w:t xml:space="preserve"> was sampled four times during fruiting body formation, while </w:t>
      </w:r>
      <w:bookmarkStart w:id="1" w:name="%3A9b.co"/>
      <w:bookmarkEnd w:id="1"/>
      <w:r w:rsidRPr="002F2174">
        <w:rPr>
          <w:rFonts w:asciiTheme="minorHAnsi" w:hAnsiTheme="minorHAnsi"/>
          <w:i/>
          <w:iCs/>
          <w:sz w:val="22"/>
          <w:szCs w:val="22"/>
        </w:rPr>
        <w:t xml:space="preserve">Pleurotus ostreatus which is a pileate-stipitate species was sampled </w:t>
      </w:r>
      <w:r w:rsidR="002F2174">
        <w:rPr>
          <w:rFonts w:asciiTheme="minorHAnsi" w:hAnsiTheme="minorHAnsi"/>
          <w:i/>
          <w:iCs/>
          <w:sz w:val="22"/>
          <w:szCs w:val="22"/>
        </w:rPr>
        <w:t>at</w:t>
      </w:r>
      <w:r w:rsidRPr="002F2174">
        <w:rPr>
          <w:rFonts w:asciiTheme="minorHAnsi" w:hAnsiTheme="minorHAnsi"/>
          <w:i/>
          <w:iCs/>
          <w:sz w:val="22"/>
          <w:szCs w:val="22"/>
        </w:rPr>
        <w:t xml:space="preserve"> seven developmental stages. Additionally, we sampled different tissue types, two types in two stage (P3 and YFB) and four types in the mature fruiting body stage. </w:t>
      </w:r>
    </w:p>
    <w:p w14:paraId="1E352FA2" w14:textId="77777777" w:rsidR="001B2725" w:rsidRPr="002F2174" w:rsidRDefault="007146E6">
      <w:pPr>
        <w:framePr w:w="7817" w:h="3626" w:hRule="exact" w:wrap="auto" w:vAnchor="text" w:hAnchor="page" w:x="1858" w:y="1"/>
        <w:rPr>
          <w:rFonts w:asciiTheme="minorHAnsi" w:hAnsiTheme="minorHAnsi"/>
          <w:i/>
          <w:iCs/>
          <w:sz w:val="22"/>
          <w:szCs w:val="22"/>
        </w:rPr>
      </w:pPr>
      <w:r w:rsidRPr="002F2174">
        <w:rPr>
          <w:rFonts w:asciiTheme="minorHAnsi" w:hAnsiTheme="minorHAnsi"/>
          <w:i/>
          <w:iCs/>
          <w:sz w:val="22"/>
          <w:szCs w:val="22"/>
        </w:rPr>
        <w:t xml:space="preserve">We excluded one developmental stages (stage 2 primordia) from the analysis, due to the high variation among biological replicates. </w:t>
      </w:r>
    </w:p>
    <w:p w14:paraId="79711651" w14:textId="77777777" w:rsidR="001B2725" w:rsidRDefault="007146E6">
      <w:pPr>
        <w:rPr>
          <w:rFonts w:asciiTheme="minorHAnsi" w:hAnsiTheme="minorHAnsi"/>
          <w:sz w:val="22"/>
          <w:szCs w:val="22"/>
        </w:rPr>
      </w:pPr>
      <w:r>
        <w:rPr>
          <w:rFonts w:asciiTheme="minorHAnsi" w:hAnsiTheme="minorHAnsi"/>
          <w:b/>
          <w:bCs/>
          <w:sz w:val="22"/>
          <w:szCs w:val="22"/>
        </w:rPr>
        <w:t>Replicates</w:t>
      </w:r>
    </w:p>
    <w:p w14:paraId="027211AC"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6D1CAADB"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7FD37650"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6E6EDB6A"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2DE45131"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2B0B9CFE" w14:textId="77777777" w:rsidR="001B2725" w:rsidRDefault="007146E6">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77928E18" w14:textId="77777777" w:rsidR="001B2725" w:rsidRDefault="001B2725">
      <w:pPr>
        <w:rPr>
          <w:rFonts w:asciiTheme="minorHAnsi" w:hAnsiTheme="minorHAnsi"/>
          <w:sz w:val="16"/>
          <w:szCs w:val="16"/>
        </w:rPr>
      </w:pPr>
    </w:p>
    <w:p w14:paraId="4C62160B" w14:textId="77777777" w:rsidR="001B2725" w:rsidRDefault="007146E6">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9F4906A" w14:textId="77777777" w:rsidR="001B2725" w:rsidRDefault="001B2725">
      <w:pPr>
        <w:rPr>
          <w:rFonts w:asciiTheme="minorHAnsi" w:hAnsiTheme="minorHAnsi"/>
          <w:b/>
          <w:bCs/>
        </w:rPr>
      </w:pPr>
    </w:p>
    <w:p w14:paraId="66552C57" w14:textId="77777777" w:rsidR="001B2725" w:rsidRPr="002F2174" w:rsidRDefault="007146E6">
      <w:pPr>
        <w:framePr w:w="7817" w:h="2454" w:hRule="exact" w:wrap="auto" w:vAnchor="text" w:hAnchor="page" w:x="1858" w:y="1"/>
        <w:rPr>
          <w:rFonts w:asciiTheme="minorHAnsi" w:hAnsiTheme="minorHAnsi"/>
          <w:i/>
          <w:iCs/>
          <w:sz w:val="22"/>
          <w:szCs w:val="22"/>
        </w:rPr>
      </w:pPr>
      <w:r w:rsidRPr="002F2174">
        <w:rPr>
          <w:rFonts w:asciiTheme="minorHAnsi" w:hAnsiTheme="minorHAnsi"/>
          <w:i/>
          <w:iCs/>
          <w:sz w:val="22"/>
          <w:szCs w:val="22"/>
        </w:rPr>
        <w:t xml:space="preserve">For each sample type, tissue from 3-8 individual fruiting bodies was pooled into a biological replicate. Three biological replicates were sampled from all developmental stages and tissue types for RNA-Seq. The concordance of replicates was checked with MDS analysis and hierarchical clustering. Technical replicates were not included in the study. Raw data have been deposited to NCBI’s GEO archive (GSE176181). In case of Pleurotus the biological replicates of stage 2 primordia showed high variability according to the MDS analysis, therefore we omitted all replicates of this stage from all further analysis. </w:t>
      </w:r>
    </w:p>
    <w:p w14:paraId="6C92ECC8" w14:textId="77777777" w:rsidR="001B2725" w:rsidRDefault="007146E6">
      <w:pPr>
        <w:rPr>
          <w:rFonts w:asciiTheme="minorHAnsi" w:hAnsiTheme="minorHAnsi"/>
          <w:sz w:val="22"/>
          <w:szCs w:val="22"/>
        </w:rPr>
      </w:pPr>
      <w:r>
        <w:rPr>
          <w:rFonts w:asciiTheme="minorHAnsi" w:hAnsiTheme="minorHAnsi"/>
          <w:b/>
          <w:bCs/>
          <w:sz w:val="22"/>
          <w:szCs w:val="22"/>
        </w:rPr>
        <w:t>Statistical reporting</w:t>
      </w:r>
    </w:p>
    <w:p w14:paraId="5B929311" w14:textId="77777777" w:rsidR="001B2725" w:rsidRDefault="007146E6">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2120C7EC" w14:textId="77777777" w:rsidR="001B2725" w:rsidRDefault="007146E6">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01A26CEC" w14:textId="77777777" w:rsidR="001B2725" w:rsidRDefault="007146E6">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4F395873" w14:textId="77777777" w:rsidR="001B2725" w:rsidRDefault="007146E6">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66030EE4" w14:textId="77777777" w:rsidR="001B2725" w:rsidRDefault="001B2725">
      <w:pPr>
        <w:rPr>
          <w:rFonts w:asciiTheme="minorHAnsi" w:hAnsiTheme="minorHAnsi"/>
          <w:sz w:val="16"/>
          <w:szCs w:val="16"/>
          <w:lang w:val="en-GB"/>
        </w:rPr>
      </w:pPr>
    </w:p>
    <w:p w14:paraId="1E5F2157" w14:textId="77777777" w:rsidR="001B2725" w:rsidRDefault="007146E6">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428EB848" w14:textId="77777777" w:rsidR="001B2725" w:rsidRDefault="001B2725">
      <w:pPr>
        <w:rPr>
          <w:rFonts w:asciiTheme="minorHAnsi" w:hAnsiTheme="minorHAnsi"/>
          <w:bCs/>
          <w:sz w:val="22"/>
          <w:szCs w:val="22"/>
        </w:rPr>
      </w:pPr>
    </w:p>
    <w:p w14:paraId="78408C67" w14:textId="77777777" w:rsidR="001B2725" w:rsidRPr="00E4138C" w:rsidRDefault="007146E6">
      <w:pPr>
        <w:framePr w:w="7817" w:h="1186" w:hRule="exact" w:wrap="auto" w:vAnchor="text" w:hAnchor="page" w:x="1904" w:y="21"/>
        <w:rPr>
          <w:rFonts w:asciiTheme="minorHAnsi" w:hAnsiTheme="minorHAnsi"/>
          <w:i/>
          <w:iCs/>
          <w:sz w:val="22"/>
          <w:szCs w:val="22"/>
        </w:rPr>
      </w:pPr>
      <w:r w:rsidRPr="00E4138C">
        <w:rPr>
          <w:rFonts w:asciiTheme="minorHAnsi" w:hAnsiTheme="minorHAnsi"/>
          <w:i/>
          <w:iCs/>
          <w:sz w:val="22"/>
          <w:szCs w:val="22"/>
        </w:rPr>
        <w:t xml:space="preserve">The used statistical analysis can be found in the Materials and Methods part of the manuscript. Exact p-values, additional values (e.g. odds-ratios) and the name of statistical analysis were indicated in the figures, tables and the Results and Discussion part of the manuscript.  </w:t>
      </w:r>
    </w:p>
    <w:p w14:paraId="745F2E7D" w14:textId="77777777" w:rsidR="002F2174" w:rsidRDefault="002F2174">
      <w:pPr>
        <w:rPr>
          <w:rFonts w:asciiTheme="minorHAnsi" w:hAnsiTheme="minorHAnsi"/>
          <w:bCs/>
          <w:sz w:val="22"/>
          <w:szCs w:val="22"/>
        </w:rPr>
      </w:pPr>
    </w:p>
    <w:p w14:paraId="1CDCF6B9" w14:textId="77777777" w:rsidR="002F2174" w:rsidRDefault="002F2174">
      <w:pPr>
        <w:rPr>
          <w:rFonts w:asciiTheme="minorHAnsi" w:hAnsiTheme="minorHAnsi"/>
          <w:bCs/>
          <w:sz w:val="22"/>
          <w:szCs w:val="22"/>
        </w:rPr>
      </w:pPr>
    </w:p>
    <w:p w14:paraId="520175D2" w14:textId="77777777" w:rsidR="002F2174" w:rsidRDefault="002F2174">
      <w:pPr>
        <w:rPr>
          <w:rFonts w:asciiTheme="minorHAnsi" w:hAnsiTheme="minorHAnsi"/>
          <w:bCs/>
          <w:sz w:val="22"/>
          <w:szCs w:val="22"/>
        </w:rPr>
      </w:pPr>
    </w:p>
    <w:p w14:paraId="50F15E3E" w14:textId="77777777" w:rsidR="002F2174" w:rsidRDefault="002F2174">
      <w:pPr>
        <w:rPr>
          <w:rFonts w:asciiTheme="minorHAnsi" w:hAnsiTheme="minorHAnsi"/>
          <w:bCs/>
          <w:sz w:val="22"/>
          <w:szCs w:val="22"/>
        </w:rPr>
      </w:pPr>
    </w:p>
    <w:p w14:paraId="214936B6" w14:textId="77777777" w:rsidR="002F2174" w:rsidRDefault="002F2174">
      <w:pPr>
        <w:rPr>
          <w:rFonts w:asciiTheme="minorHAnsi" w:hAnsiTheme="minorHAnsi"/>
          <w:bCs/>
          <w:sz w:val="22"/>
          <w:szCs w:val="22"/>
        </w:rPr>
      </w:pPr>
    </w:p>
    <w:p w14:paraId="5F573AFC" w14:textId="56B96449" w:rsidR="001B2725" w:rsidRDefault="007146E6">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307EC138" w14:textId="77777777" w:rsidR="001B2725" w:rsidRDefault="001B2725">
      <w:pPr>
        <w:rPr>
          <w:rFonts w:asciiTheme="minorHAnsi" w:hAnsiTheme="minorHAnsi"/>
          <w:b/>
        </w:rPr>
      </w:pPr>
    </w:p>
    <w:p w14:paraId="09C75BDC" w14:textId="77777777" w:rsidR="001B2725" w:rsidRDefault="007146E6">
      <w:pPr>
        <w:rPr>
          <w:rFonts w:asciiTheme="minorHAnsi" w:hAnsiTheme="minorHAnsi"/>
          <w:b/>
          <w:sz w:val="22"/>
          <w:szCs w:val="22"/>
        </w:rPr>
      </w:pPr>
      <w:r>
        <w:rPr>
          <w:rFonts w:asciiTheme="minorHAnsi" w:hAnsiTheme="minorHAnsi"/>
          <w:b/>
          <w:sz w:val="22"/>
          <w:szCs w:val="22"/>
        </w:rPr>
        <w:t>Group allocation</w:t>
      </w:r>
    </w:p>
    <w:p w14:paraId="401BCA95" w14:textId="77777777" w:rsidR="001B2725" w:rsidRDefault="007146E6">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053790CC" w14:textId="77777777" w:rsidR="001B2725" w:rsidRDefault="007146E6">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3FBA8D58" w14:textId="77777777" w:rsidR="001B2725" w:rsidRDefault="001B2725">
      <w:pPr>
        <w:rPr>
          <w:rFonts w:asciiTheme="minorHAnsi" w:hAnsiTheme="minorHAnsi"/>
          <w:b/>
          <w:sz w:val="16"/>
          <w:szCs w:val="16"/>
        </w:rPr>
      </w:pPr>
    </w:p>
    <w:p w14:paraId="72CD3B63" w14:textId="77777777" w:rsidR="001B2725" w:rsidRDefault="007146E6">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466C3DAD" w14:textId="77777777" w:rsidR="001B2725" w:rsidRDefault="001B2725">
      <w:pPr>
        <w:rPr>
          <w:rFonts w:asciiTheme="minorHAnsi" w:hAnsiTheme="minorHAnsi"/>
          <w:b/>
        </w:rPr>
      </w:pPr>
    </w:p>
    <w:p w14:paraId="4186E14D" w14:textId="77777777" w:rsidR="001B2725" w:rsidRPr="00E4138C" w:rsidRDefault="007146E6">
      <w:pPr>
        <w:framePr w:w="7817" w:h="1088" w:hRule="exact" w:wrap="auto" w:vAnchor="text" w:hAnchor="page" w:x="1904" w:y="1"/>
        <w:rPr>
          <w:rFonts w:asciiTheme="minorHAnsi" w:hAnsiTheme="minorHAnsi"/>
          <w:i/>
          <w:iCs/>
          <w:sz w:val="22"/>
          <w:szCs w:val="22"/>
        </w:rPr>
      </w:pPr>
      <w:r w:rsidRPr="00E4138C">
        <w:rPr>
          <w:rFonts w:asciiTheme="minorHAnsi" w:hAnsiTheme="minorHAnsi"/>
          <w:i/>
          <w:iCs/>
          <w:sz w:val="22"/>
          <w:szCs w:val="22"/>
        </w:rPr>
        <w:t>Due to the nature of our analysis this point is not relevant.</w:t>
      </w:r>
    </w:p>
    <w:p w14:paraId="6E7E1D70" w14:textId="77777777" w:rsidR="001B2725" w:rsidRDefault="007146E6">
      <w:pPr>
        <w:rPr>
          <w:rFonts w:asciiTheme="minorHAnsi" w:hAnsiTheme="minorHAnsi"/>
          <w:b/>
          <w:sz w:val="22"/>
          <w:szCs w:val="22"/>
        </w:rPr>
      </w:pPr>
      <w:r>
        <w:rPr>
          <w:rFonts w:asciiTheme="minorHAnsi" w:hAnsiTheme="minorHAnsi"/>
          <w:b/>
          <w:sz w:val="22"/>
          <w:szCs w:val="22"/>
        </w:rPr>
        <w:t>Additional data files (“source data”)</w:t>
      </w:r>
    </w:p>
    <w:p w14:paraId="773C430D" w14:textId="77777777" w:rsidR="001B2725" w:rsidRDefault="007146E6">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5DE5432E" w14:textId="77777777" w:rsidR="001B2725" w:rsidRDefault="007146E6">
      <w:pPr>
        <w:pStyle w:val="ListParagraph"/>
        <w:numPr>
          <w:ilvl w:val="0"/>
          <w:numId w:val="4"/>
        </w:numPr>
        <w:rPr>
          <w:rFonts w:asciiTheme="minorHAnsi" w:hAnsiTheme="minorHAnsi"/>
          <w:sz w:val="22"/>
          <w:szCs w:val="22"/>
        </w:rPr>
      </w:pPr>
      <w:r>
        <w:rPr>
          <w:rFonts w:asciiTheme="minorHAnsi" w:hAnsiTheme="minorHAnsi"/>
          <w:sz w:val="22"/>
          <w:szCs w:val="22"/>
        </w:rPr>
        <w:lastRenderedPageBreak/>
        <w:t>Where provided, these should be in the most useful format, and they can be uploaded as “Source data” files linked to a main figure or table</w:t>
      </w:r>
    </w:p>
    <w:p w14:paraId="3F4F267C" w14:textId="77777777" w:rsidR="001B2725" w:rsidRDefault="007146E6">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5A8436AA" w14:textId="77777777" w:rsidR="001B2725" w:rsidRDefault="007146E6">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1D320CE0" w14:textId="77777777" w:rsidR="001B2725" w:rsidRDefault="007146E6">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14:paraId="24249D2E" w14:textId="77777777" w:rsidR="001B2725" w:rsidRDefault="001B2725">
      <w:pPr>
        <w:rPr>
          <w:rFonts w:asciiTheme="minorHAnsi" w:hAnsiTheme="minorHAnsi"/>
          <w:sz w:val="16"/>
          <w:szCs w:val="16"/>
        </w:rPr>
      </w:pPr>
    </w:p>
    <w:p w14:paraId="2BAEC335" w14:textId="77777777" w:rsidR="001B2725" w:rsidRDefault="007146E6">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6A838565" w14:textId="77777777" w:rsidR="002079AC" w:rsidRPr="00E4138C" w:rsidRDefault="002079AC" w:rsidP="002079AC">
      <w:pPr>
        <w:framePr w:w="7846" w:h="2927" w:hRule="exact" w:wrap="auto" w:vAnchor="text" w:hAnchor="page" w:x="1832" w:y="72"/>
        <w:rPr>
          <w:rFonts w:asciiTheme="minorHAnsi" w:hAnsiTheme="minorHAnsi" w:cstheme="minorHAnsi"/>
          <w:i/>
          <w:iCs/>
          <w:sz w:val="22"/>
          <w:szCs w:val="22"/>
        </w:rPr>
      </w:pPr>
      <w:r w:rsidRPr="00E4138C">
        <w:rPr>
          <w:rFonts w:asciiTheme="minorHAnsi" w:hAnsiTheme="minorHAnsi" w:cstheme="minorHAnsi"/>
          <w:i/>
          <w:iCs/>
          <w:sz w:val="22"/>
          <w:szCs w:val="22"/>
        </w:rPr>
        <w:t>Raw RNA-Seq reads have been deposited to NCBI’s GEO archive (GSE176181).</w:t>
      </w:r>
    </w:p>
    <w:p w14:paraId="52A155EC" w14:textId="77777777" w:rsidR="002079AC" w:rsidRPr="00E4138C" w:rsidRDefault="002079AC" w:rsidP="002079AC">
      <w:pPr>
        <w:framePr w:w="7846" w:h="2927" w:hRule="exact" w:wrap="auto" w:vAnchor="text" w:hAnchor="page" w:x="1832" w:y="72"/>
        <w:rPr>
          <w:rFonts w:asciiTheme="minorHAnsi" w:hAnsiTheme="minorHAnsi" w:cstheme="minorHAnsi"/>
          <w:i/>
          <w:iCs/>
          <w:sz w:val="22"/>
          <w:szCs w:val="22"/>
        </w:rPr>
      </w:pPr>
      <w:r w:rsidRPr="00E4138C">
        <w:rPr>
          <w:rFonts w:asciiTheme="minorHAnsi" w:hAnsiTheme="minorHAnsi" w:cstheme="minorHAnsi"/>
          <w:i/>
          <w:iCs/>
          <w:sz w:val="22"/>
          <w:szCs w:val="22"/>
        </w:rPr>
        <w:t xml:space="preserve">Other files associated with this paper (including species tree, code used for data analysis) have been deposited in Dryad (private link: </w:t>
      </w:r>
      <w:hyperlink r:id="rId11" w:history="1">
        <w:r w:rsidRPr="00E4138C">
          <w:rPr>
            <w:rStyle w:val="Hyperlink"/>
            <w:rFonts w:asciiTheme="minorHAnsi" w:hAnsiTheme="minorHAnsi" w:cstheme="minorHAnsi"/>
            <w:i/>
            <w:iCs/>
            <w:sz w:val="22"/>
            <w:szCs w:val="22"/>
          </w:rPr>
          <w:t>https://datadryad.org/stash/share/xl6SMTywZzaJg_92vnO7btOOBRTWddpZwr7dGLZtgjw</w:t>
        </w:r>
      </w:hyperlink>
      <w:r w:rsidRPr="00E4138C">
        <w:rPr>
          <w:rFonts w:asciiTheme="minorHAnsi" w:hAnsiTheme="minorHAnsi" w:cstheme="minorHAnsi"/>
          <w:i/>
          <w:iCs/>
          <w:sz w:val="22"/>
          <w:szCs w:val="22"/>
        </w:rPr>
        <w:t xml:space="preserve"> </w:t>
      </w:r>
      <w:r w:rsidR="00787702" w:rsidRPr="00E4138C">
        <w:rPr>
          <w:rFonts w:asciiTheme="minorHAnsi" w:hAnsiTheme="minorHAnsi" w:cstheme="minorHAnsi"/>
          <w:i/>
          <w:iCs/>
          <w:sz w:val="22"/>
          <w:szCs w:val="22"/>
        </w:rPr>
        <w:t>final</w:t>
      </w:r>
      <w:r w:rsidRPr="00E4138C">
        <w:rPr>
          <w:rFonts w:asciiTheme="minorHAnsi" w:hAnsiTheme="minorHAnsi" w:cstheme="minorHAnsi"/>
          <w:i/>
          <w:iCs/>
          <w:sz w:val="22"/>
          <w:szCs w:val="22"/>
        </w:rPr>
        <w:t xml:space="preserve"> availability: </w:t>
      </w:r>
      <w:hyperlink r:id="rId12">
        <w:r w:rsidRPr="00E4138C">
          <w:rPr>
            <w:rStyle w:val="Hyperlink"/>
            <w:rFonts w:asciiTheme="minorHAnsi" w:hAnsiTheme="minorHAnsi" w:cstheme="minorHAnsi"/>
            <w:i/>
            <w:iCs/>
            <w:sz w:val="22"/>
            <w:szCs w:val="22"/>
          </w:rPr>
          <w:t>https://doi.org/</w:t>
        </w:r>
        <w:bookmarkStart w:id="2" w:name="_GoBack1"/>
        <w:bookmarkEnd w:id="2"/>
        <w:r w:rsidRPr="00E4138C">
          <w:rPr>
            <w:rStyle w:val="Hyperlink"/>
            <w:rFonts w:asciiTheme="minorHAnsi" w:hAnsiTheme="minorHAnsi" w:cstheme="minorHAnsi"/>
            <w:i/>
            <w:iCs/>
            <w:sz w:val="22"/>
            <w:szCs w:val="22"/>
          </w:rPr>
          <w:t>1</w:t>
        </w:r>
        <w:r w:rsidRPr="00E4138C">
          <w:rPr>
            <w:rStyle w:val="Hyperlink"/>
            <w:rFonts w:asciiTheme="minorHAnsi" w:hAnsiTheme="minorHAnsi" w:cstheme="minorHAnsi"/>
            <w:i/>
            <w:iCs/>
            <w:sz w:val="22"/>
            <w:szCs w:val="22"/>
          </w:rPr>
          <w:t>0</w:t>
        </w:r>
        <w:r w:rsidRPr="00E4138C">
          <w:rPr>
            <w:rStyle w:val="Hyperlink"/>
            <w:rFonts w:asciiTheme="minorHAnsi" w:hAnsiTheme="minorHAnsi" w:cstheme="minorHAnsi"/>
            <w:i/>
            <w:iCs/>
            <w:sz w:val="22"/>
            <w:szCs w:val="22"/>
          </w:rPr>
          <w:t>.5061/dryad.5qfttdz5m</w:t>
        </w:r>
      </w:hyperlink>
      <w:r w:rsidRPr="00E4138C">
        <w:rPr>
          <w:rFonts w:asciiTheme="minorHAnsi" w:hAnsiTheme="minorHAnsi" w:cstheme="minorHAnsi"/>
          <w:i/>
          <w:iCs/>
          <w:color w:val="000000"/>
          <w:sz w:val="22"/>
          <w:szCs w:val="22"/>
        </w:rPr>
        <w:t xml:space="preserve"> </w:t>
      </w:r>
      <w:r w:rsidRPr="00E4138C">
        <w:rPr>
          <w:rFonts w:asciiTheme="minorHAnsi" w:hAnsiTheme="minorHAnsi" w:cstheme="minorHAnsi"/>
          <w:i/>
          <w:iCs/>
          <w:sz w:val="22"/>
          <w:szCs w:val="22"/>
        </w:rPr>
        <w:t>).</w:t>
      </w:r>
    </w:p>
    <w:p w14:paraId="126A1D99" w14:textId="77777777" w:rsidR="001B2725" w:rsidRDefault="001B2725">
      <w:pPr>
        <w:rPr>
          <w:rFonts w:asciiTheme="minorHAnsi" w:hAnsiTheme="minorHAnsi"/>
          <w:sz w:val="22"/>
          <w:szCs w:val="22"/>
        </w:rPr>
      </w:pPr>
    </w:p>
    <w:p w14:paraId="0BFE286A" w14:textId="77777777" w:rsidR="002079AC" w:rsidRDefault="002079AC">
      <w:pPr>
        <w:rPr>
          <w:rFonts w:asciiTheme="minorHAnsi" w:hAnsiTheme="minorHAnsi"/>
        </w:rPr>
      </w:pPr>
    </w:p>
    <w:sectPr w:rsidR="002079AC">
      <w:headerReference w:type="default" r:id="rId13"/>
      <w:footerReference w:type="default" r:id="rId14"/>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F4A3D" w14:textId="77777777" w:rsidR="00D67A41" w:rsidRDefault="00D67A41">
      <w:r>
        <w:separator/>
      </w:r>
    </w:p>
  </w:endnote>
  <w:endnote w:type="continuationSeparator" w:id="0">
    <w:p w14:paraId="14597C2B" w14:textId="77777777" w:rsidR="00D67A41" w:rsidRDefault="00D6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9789" w14:textId="77777777" w:rsidR="001B2725" w:rsidRDefault="007146E6">
    <w:pPr>
      <w:pStyle w:val="Footer"/>
      <w:tabs>
        <w:tab w:val="clear" w:pos="8640"/>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w:rPr>
        <w:noProof/>
        <w:lang w:val="en-GB" w:eastAsia="en-GB"/>
      </w:rPr>
      <mc:AlternateContent>
        <mc:Choice Requires="wps">
          <w:drawing>
            <wp:anchor distT="0" distB="0" distL="0" distR="0" simplePos="0" relativeHeight="12" behindDoc="0" locked="0" layoutInCell="1" allowOverlap="1" wp14:anchorId="439A45B0" wp14:editId="10704EFA">
              <wp:simplePos x="0" y="0"/>
              <wp:positionH relativeFrom="page">
                <wp:posOffset>6313805</wp:posOffset>
              </wp:positionH>
              <wp:positionV relativeFrom="paragraph">
                <wp:posOffset>123825</wp:posOffset>
              </wp:positionV>
              <wp:extent cx="64770" cy="154940"/>
              <wp:effectExtent l="0" t="0" r="0" b="0"/>
              <wp:wrapSquare wrapText="largest"/>
              <wp:docPr id="2" name="Frame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14:paraId="3F927EB9" w14:textId="77777777" w:rsidR="001B2725" w:rsidRDefault="007146E6">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sidR="00787702">
                            <w:rPr>
                              <w:rStyle w:val="PageNumber"/>
                              <w:rFonts w:ascii="Calibri" w:hAnsi="Calibri"/>
                              <w:noProof/>
                              <w:sz w:val="20"/>
                              <w:szCs w:val="20"/>
                            </w:rPr>
                            <w:t>1</w:t>
                          </w:r>
                          <w:r>
                            <w:rPr>
                              <w:rStyle w:val="PageNumber"/>
                              <w:rFonts w:ascii="Calibri" w:hAnsi="Calibri"/>
                              <w:sz w:val="20"/>
                              <w:szCs w:val="20"/>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6" o:spid="_x0000_s1026" type="#_x0000_t202" style="position:absolute;left:0;text-align:left;margin-left:497.15pt;margin-top:9.75pt;width:5.1pt;height:12.2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" stroked="f">
              <v:fill opacity="0"/>
              <v:textbox style="mso-fit-shape-to-text:t" inset="0,0,0,0">
                <w:txbxContent>
                  <w:p w:rsidR="001B2725" w:rsidRDefault="007146E6">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sidR="00787702">
                      <w:rPr>
                        <w:rStyle w:val="PageNumber"/>
                        <w:rFonts w:ascii="Calibri" w:hAnsi="Calibri"/>
                        <w:noProof/>
                        <w:sz w:val="20"/>
                        <w:szCs w:val="20"/>
                      </w:rPr>
                      <w:t>1</w:t>
                    </w:r>
                    <w:r>
                      <w:rPr>
                        <w:rStyle w:val="PageNumber"/>
                        <w:rFonts w:ascii="Calibri" w:hAnsi="Calibri"/>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C6E9" w14:textId="77777777" w:rsidR="00D67A41" w:rsidRDefault="00D67A41">
      <w:r>
        <w:separator/>
      </w:r>
    </w:p>
  </w:footnote>
  <w:footnote w:type="continuationSeparator" w:id="0">
    <w:p w14:paraId="157F9984" w14:textId="77777777" w:rsidR="00D67A41" w:rsidRDefault="00D6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3338B" w14:textId="77777777" w:rsidR="001B2725" w:rsidRDefault="007146E6">
    <w:pPr>
      <w:pStyle w:val="Header"/>
      <w:ind w:left="-1134"/>
    </w:pPr>
    <w:r>
      <w:rPr>
        <w:noProof/>
        <w:lang w:val="en-GB" w:eastAsia="en-GB"/>
      </w:rPr>
      <w:drawing>
        <wp:inline distT="0" distB="0" distL="0" distR="0" wp14:anchorId="073A97D8" wp14:editId="6DDFF3D6">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17FDA"/>
    <w:multiLevelType w:val="multilevel"/>
    <w:tmpl w:val="2D8A68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C000E0"/>
    <w:multiLevelType w:val="multilevel"/>
    <w:tmpl w:val="8DE281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A006AFF"/>
    <w:multiLevelType w:val="multilevel"/>
    <w:tmpl w:val="3092A7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B272CA3"/>
    <w:multiLevelType w:val="multilevel"/>
    <w:tmpl w:val="64B879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0043951"/>
    <w:multiLevelType w:val="multilevel"/>
    <w:tmpl w:val="2AEC26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66E2C3A"/>
    <w:multiLevelType w:val="multilevel"/>
    <w:tmpl w:val="BE228E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25"/>
    <w:rsid w:val="001B2725"/>
    <w:rsid w:val="002079AC"/>
    <w:rsid w:val="002F2174"/>
    <w:rsid w:val="004C3696"/>
    <w:rsid w:val="007146E6"/>
    <w:rsid w:val="00787702"/>
    <w:rsid w:val="00D67A41"/>
    <w:rsid w:val="00E4138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F5FF"/>
  <w15:docId w15:val="{8AE65716-C893-428B-94B4-6A782A2A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character" w:customStyle="1" w:styleId="fontstyle01">
    <w:name w:val="fontstyle01"/>
    <w:basedOn w:val="DefaultParagraphFont"/>
    <w:qFormat/>
    <w:rsid w:val="00051D96"/>
    <w:rPr>
      <w:rFonts w:ascii="Times New Roman" w:hAnsi="Times New Roman" w:cs="Times New Roman"/>
      <w:b w:val="0"/>
      <w:bCs w:val="0"/>
      <w:i w:val="0"/>
      <w:iCs w:val="0"/>
      <w:color w:val="000000"/>
      <w:sz w:val="24"/>
      <w:szCs w:val="24"/>
    </w:rPr>
  </w:style>
  <w:style w:type="character" w:customStyle="1" w:styleId="fontstyle21">
    <w:name w:val="fontstyle21"/>
    <w:basedOn w:val="DefaultParagraphFont"/>
    <w:qFormat/>
    <w:rsid w:val="00051D96"/>
    <w:rPr>
      <w:rFonts w:ascii="Calibri" w:hAnsi="Calibri" w:cs="Calibri"/>
      <w:b w:val="0"/>
      <w:bCs w:val="0"/>
      <w:i w:val="0"/>
      <w:iCs w:val="0"/>
      <w:color w:val="000000"/>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next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5qfttdz5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share/xl6SMTywZzaJg_92vnO7btOOBRTWddpZwr7dGLZtgj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DABD-B496-481B-87A2-69861636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5731</Characters>
  <Application>Microsoft Office Word</Application>
  <DocSecurity>0</DocSecurity>
  <Lines>47</Lines>
  <Paragraphs>13</Paragraphs>
  <ScaleCrop>false</ScaleCrop>
  <Company>Brandeis University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Microsoft Office User</cp:lastModifiedBy>
  <cp:revision>3</cp:revision>
  <dcterms:created xsi:type="dcterms:W3CDTF">2021-06-21T13:40:00Z</dcterms:created>
  <dcterms:modified xsi:type="dcterms:W3CDTF">2021-06-21T13:41:00Z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