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D5710F">
        <w:fldChar w:fldCharType="begin"/>
      </w:r>
      <w:r w:rsidR="00D5710F">
        <w:instrText xml:space="preserve"> HYPERLINK "https://biosharing.org/" \t "_blank" </w:instrText>
      </w:r>
      <w:r w:rsidR="00D5710F">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D5710F">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4DE7D2F" w:rsidR="00FD4937" w:rsidRPr="00FD3412" w:rsidRDefault="00FD341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FD3412">
        <w:rPr>
          <w:rFonts w:asciiTheme="minorHAnsi" w:hAnsiTheme="minorHAnsi"/>
          <w:sz w:val="20"/>
          <w:szCs w:val="20"/>
        </w:rPr>
        <w:t>Power analyses require assumptions about the variation in the population and the effect size of biological relevance.</w:t>
      </w:r>
      <w:r>
        <w:rPr>
          <w:rFonts w:asciiTheme="minorHAnsi" w:hAnsiTheme="minorHAnsi"/>
          <w:sz w:val="20"/>
          <w:szCs w:val="20"/>
        </w:rPr>
        <w:t xml:space="preserve"> </w:t>
      </w:r>
      <w:r w:rsidRPr="00FD3412">
        <w:rPr>
          <w:rFonts w:asciiTheme="minorHAnsi" w:hAnsiTheme="minorHAnsi"/>
          <w:sz w:val="20"/>
          <w:szCs w:val="20"/>
        </w:rPr>
        <w:t xml:space="preserve">We lack specific prior data on the novel questions/approaches utilised. Sample sizes for different approaches </w:t>
      </w:r>
      <w:r>
        <w:rPr>
          <w:rFonts w:asciiTheme="minorHAnsi" w:hAnsiTheme="minorHAnsi"/>
          <w:sz w:val="20"/>
          <w:szCs w:val="20"/>
        </w:rPr>
        <w:t>were</w:t>
      </w:r>
      <w:r w:rsidRPr="00FD3412">
        <w:rPr>
          <w:rFonts w:asciiTheme="minorHAnsi" w:hAnsiTheme="minorHAnsi"/>
          <w:sz w:val="20"/>
          <w:szCs w:val="20"/>
        </w:rPr>
        <w:t xml:space="preserve"> estimated and consistent with group sizes in similar previous studies by us and others.</w:t>
      </w:r>
      <w:r>
        <w:rPr>
          <w:rFonts w:asciiTheme="minorHAnsi" w:hAnsiTheme="minorHAnsi"/>
          <w:sz w:val="20"/>
          <w:szCs w:val="20"/>
        </w:rPr>
        <w:t xml:space="preserve"> </w:t>
      </w:r>
      <w:r w:rsidR="0042161B">
        <w:rPr>
          <w:rFonts w:asciiTheme="minorHAnsi" w:hAnsiTheme="minorHAnsi"/>
          <w:sz w:val="20"/>
          <w:szCs w:val="20"/>
        </w:rPr>
        <w:t xml:space="preserve">However, estimates for Luminex </w:t>
      </w:r>
      <w:proofErr w:type="spellStart"/>
      <w:r w:rsidR="0042161B">
        <w:rPr>
          <w:rFonts w:asciiTheme="minorHAnsi" w:hAnsiTheme="minorHAnsi"/>
          <w:sz w:val="20"/>
          <w:szCs w:val="20"/>
        </w:rPr>
        <w:t>asaays</w:t>
      </w:r>
      <w:proofErr w:type="spellEnd"/>
      <w:r w:rsidR="0042161B">
        <w:rPr>
          <w:rFonts w:asciiTheme="minorHAnsi" w:hAnsiTheme="minorHAnsi"/>
          <w:sz w:val="20"/>
          <w:szCs w:val="20"/>
        </w:rPr>
        <w:t>, u</w:t>
      </w:r>
      <w:r w:rsidRPr="00FD3412">
        <w:rPr>
          <w:rFonts w:asciiTheme="minorHAnsi" w:hAnsiTheme="minorHAnsi"/>
          <w:sz w:val="20"/>
          <w:szCs w:val="20"/>
        </w:rPr>
        <w:t>sing single time-point data from one candidate factor (</w:t>
      </w:r>
      <w:r>
        <w:rPr>
          <w:rFonts w:asciiTheme="minorHAnsi" w:hAnsiTheme="minorHAnsi"/>
          <w:sz w:val="20"/>
          <w:szCs w:val="20"/>
        </w:rPr>
        <w:t>ICAM-1 for example</w:t>
      </w:r>
      <w:r w:rsidRPr="00FD3412">
        <w:rPr>
          <w:rFonts w:asciiTheme="minorHAnsi" w:hAnsiTheme="minorHAnsi"/>
          <w:sz w:val="20"/>
          <w:szCs w:val="20"/>
        </w:rPr>
        <w:t xml:space="preserve">), assuming 1:5 </w:t>
      </w:r>
      <w:r>
        <w:rPr>
          <w:rFonts w:asciiTheme="minorHAnsi" w:hAnsiTheme="minorHAnsi"/>
          <w:sz w:val="20"/>
          <w:szCs w:val="20"/>
        </w:rPr>
        <w:t>of patients shows increase of EC activation markers</w:t>
      </w:r>
      <w:r w:rsidRPr="00FD3412">
        <w:rPr>
          <w:rFonts w:asciiTheme="minorHAnsi" w:hAnsiTheme="minorHAnsi"/>
          <w:sz w:val="20"/>
          <w:szCs w:val="20"/>
        </w:rPr>
        <w:t xml:space="preserve">, n=25 gives 90% power to detect a significant difference in soluble factors in blood between </w:t>
      </w:r>
      <w:r>
        <w:rPr>
          <w:rFonts w:asciiTheme="minorHAnsi" w:hAnsiTheme="minorHAnsi"/>
          <w:sz w:val="20"/>
          <w:szCs w:val="20"/>
        </w:rPr>
        <w:t>P. vivax</w:t>
      </w:r>
      <w:r w:rsidRPr="00FD3412">
        <w:rPr>
          <w:rFonts w:asciiTheme="minorHAnsi" w:hAnsiTheme="minorHAnsi"/>
          <w:sz w:val="20"/>
          <w:szCs w:val="20"/>
        </w:rPr>
        <w:t xml:space="preserve"> (n=20) and </w:t>
      </w:r>
      <w:r>
        <w:rPr>
          <w:rFonts w:asciiTheme="minorHAnsi" w:hAnsiTheme="minorHAnsi"/>
          <w:sz w:val="20"/>
          <w:szCs w:val="20"/>
        </w:rPr>
        <w:t>healthy donors</w:t>
      </w:r>
      <w:r w:rsidRPr="00FD3412">
        <w:rPr>
          <w:rFonts w:asciiTheme="minorHAnsi" w:hAnsiTheme="minorHAnsi"/>
          <w:sz w:val="20"/>
          <w:szCs w:val="20"/>
        </w:rPr>
        <w:t xml:space="preserve"> (n=5). To enable detection of subtle changes in individuals we </w:t>
      </w:r>
      <w:r>
        <w:rPr>
          <w:rFonts w:asciiTheme="minorHAnsi" w:hAnsiTheme="minorHAnsi"/>
          <w:sz w:val="20"/>
          <w:szCs w:val="20"/>
        </w:rPr>
        <w:t>analysed 31</w:t>
      </w:r>
      <w:r w:rsidRPr="00FD3412">
        <w:rPr>
          <w:rFonts w:asciiTheme="minorHAnsi" w:hAnsiTheme="minorHAnsi"/>
          <w:sz w:val="20"/>
          <w:szCs w:val="20"/>
        </w:rPr>
        <w:t xml:space="preserve"> </w:t>
      </w:r>
      <w:proofErr w:type="spellStart"/>
      <w:r w:rsidRPr="00FD3412">
        <w:rPr>
          <w:rFonts w:asciiTheme="minorHAnsi" w:hAnsiTheme="minorHAnsi"/>
          <w:sz w:val="20"/>
          <w:szCs w:val="20"/>
        </w:rPr>
        <w:t>P</w:t>
      </w:r>
      <w:r>
        <w:rPr>
          <w:rFonts w:asciiTheme="minorHAnsi" w:hAnsiTheme="minorHAnsi"/>
          <w:sz w:val="20"/>
          <w:szCs w:val="20"/>
        </w:rPr>
        <w:t>v</w:t>
      </w:r>
      <w:proofErr w:type="spellEnd"/>
      <w:r w:rsidRPr="00FD3412">
        <w:rPr>
          <w:rFonts w:asciiTheme="minorHAnsi" w:hAnsiTheme="minorHAnsi"/>
          <w:sz w:val="20"/>
          <w:szCs w:val="20"/>
        </w:rPr>
        <w:t xml:space="preserve"> cases</w:t>
      </w:r>
      <w:r w:rsidR="0042161B">
        <w:rPr>
          <w:rFonts w:asciiTheme="minorHAnsi" w:hAnsiTheme="minorHAnsi"/>
          <w:sz w:val="20"/>
          <w:szCs w:val="20"/>
        </w:rPr>
        <w:t xml:space="preserve"> (out of 79 cases)</w:t>
      </w:r>
      <w:r w:rsidRPr="00FD3412">
        <w:rPr>
          <w:rFonts w:asciiTheme="minorHAnsi" w:hAnsiTheme="minorHAnsi"/>
          <w:sz w:val="20"/>
          <w:szCs w:val="20"/>
        </w:rPr>
        <w:t xml:space="preserve"> and </w:t>
      </w:r>
      <w:r>
        <w:rPr>
          <w:rFonts w:asciiTheme="minorHAnsi" w:hAnsiTheme="minorHAnsi"/>
          <w:sz w:val="20"/>
          <w:szCs w:val="20"/>
        </w:rPr>
        <w:t>9 healthy donors</w:t>
      </w:r>
      <w:r w:rsidR="0042161B">
        <w:rPr>
          <w:rFonts w:asciiTheme="minorHAnsi" w:hAnsiTheme="minorHAnsi"/>
          <w:sz w:val="20"/>
          <w:szCs w:val="20"/>
        </w:rPr>
        <w:t xml:space="preserve"> (out of 34 cases)</w:t>
      </w:r>
      <w:r>
        <w:rPr>
          <w:rFonts w:asciiTheme="minorHAnsi" w:hAnsiTheme="minorHAnsi"/>
          <w:sz w:val="20"/>
          <w:szCs w:val="20"/>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947D447" w:rsidR="00FD4937" w:rsidRPr="0042161B" w:rsidRDefault="00FD341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2161B">
        <w:rPr>
          <w:rFonts w:asciiTheme="minorHAnsi" w:hAnsiTheme="minorHAnsi"/>
          <w:sz w:val="22"/>
          <w:szCs w:val="22"/>
        </w:rPr>
        <w:t>As described in the figure legend of Figure 6, for all experiments regarding ex vivo stimulation of HUVECs (</w:t>
      </w:r>
      <w:proofErr w:type="spellStart"/>
      <w:r w:rsidRPr="0042161B">
        <w:rPr>
          <w:rFonts w:asciiTheme="minorHAnsi" w:hAnsiTheme="minorHAnsi"/>
          <w:sz w:val="22"/>
          <w:szCs w:val="22"/>
        </w:rPr>
        <w:t>qRT</w:t>
      </w:r>
      <w:proofErr w:type="spellEnd"/>
      <w:r w:rsidRPr="0042161B">
        <w:rPr>
          <w:rFonts w:asciiTheme="minorHAnsi" w:hAnsiTheme="minorHAnsi"/>
          <w:sz w:val="22"/>
          <w:szCs w:val="22"/>
        </w:rPr>
        <w:t xml:space="preserve">-PCR, ECIS, flow cytometry, immunofluorescence), </w:t>
      </w:r>
      <w:r w:rsidRPr="0042161B">
        <w:rPr>
          <w:color w:val="000000" w:themeColor="text1"/>
          <w:sz w:val="22"/>
          <w:szCs w:val="22"/>
        </w:rPr>
        <w:t>each experiment was performed independently at least three times</w:t>
      </w:r>
      <w:r w:rsidR="00840027" w:rsidRPr="0042161B">
        <w:rPr>
          <w:color w:val="000000" w:themeColor="text1"/>
          <w:sz w:val="22"/>
          <w:szCs w:val="22"/>
        </w:rPr>
        <w:t xml:space="preserve"> (3 biological replicates)</w:t>
      </w:r>
      <w:r w:rsidRPr="0042161B">
        <w:rPr>
          <w:color w:val="000000" w:themeColor="text1"/>
          <w:sz w:val="22"/>
          <w:szCs w:val="22"/>
        </w:rPr>
        <w:t xml:space="preserve">. For each experiment, 2 technical replicates were performed for each condition. </w:t>
      </w:r>
      <w:r w:rsidR="00840027" w:rsidRPr="0042161B">
        <w:rPr>
          <w:rFonts w:asciiTheme="minorHAnsi" w:hAnsiTheme="minorHAnsi" w:cstheme="minorHAnsi"/>
          <w:bCs/>
          <w:color w:val="000000" w:themeColor="text1"/>
          <w:sz w:val="22"/>
          <w:szCs w:val="22"/>
        </w:rPr>
        <w:t>Outliers were not excluded</w:t>
      </w:r>
      <w:r w:rsidR="00840027" w:rsidRPr="0042161B">
        <w:rPr>
          <w:color w:val="000000" w:themeColor="text1"/>
          <w:sz w:val="22"/>
          <w:szCs w:val="22"/>
        </w:rPr>
        <w:t xml:space="preserve"> </w:t>
      </w:r>
      <w:r w:rsidRPr="0042161B">
        <w:rPr>
          <w:color w:val="000000" w:themeColor="text1"/>
          <w:sz w:val="22"/>
          <w:szCs w:val="22"/>
        </w:rPr>
        <w:t>as well as no data was excluded or included. We did not generate high-throughput sequence data.</w:t>
      </w:r>
      <w:r w:rsidR="00840027" w:rsidRPr="0042161B">
        <w:rPr>
          <w:rFonts w:asciiTheme="minorHAnsi" w:hAnsiTheme="minorHAnsi" w:cstheme="minorHAnsi"/>
          <w:bCs/>
          <w:color w:val="000000" w:themeColor="text1"/>
          <w:sz w:val="22"/>
          <w:szCs w:val="22"/>
        </w:rPr>
        <w:t xml:space="preserve"> More </w:t>
      </w:r>
      <w:r w:rsidR="00840027" w:rsidRPr="0042161B">
        <w:rPr>
          <w:rFonts w:asciiTheme="minorHAnsi" w:hAnsiTheme="minorHAnsi"/>
          <w:sz w:val="22"/>
          <w:szCs w:val="22"/>
        </w:rPr>
        <w:t>detailed information can be founded in figure legends.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9DDB5BD" w:rsidR="00FD4937" w:rsidRPr="00505C51" w:rsidRDefault="00A0790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can be found in the section “Statistical Analysis” in the Materials and Methods section as well as in the legends of each figure.</w:t>
      </w:r>
    </w:p>
    <w:p w14:paraId="77BEC252" w14:textId="77777777" w:rsidR="00FD4937" w:rsidRDefault="00FD4937" w:rsidP="00FD4937">
      <w:pPr>
        <w:rPr>
          <w:rFonts w:asciiTheme="minorHAnsi" w:hAnsiTheme="minorHAnsi"/>
          <w:bCs/>
          <w:sz w:val="22"/>
          <w:szCs w:val="22"/>
        </w:rPr>
      </w:pPr>
    </w:p>
    <w:p w14:paraId="524CD672" w14:textId="77777777" w:rsidR="00FD3412" w:rsidRDefault="00FD3412" w:rsidP="00FD4937">
      <w:pPr>
        <w:rPr>
          <w:rFonts w:asciiTheme="minorHAnsi" w:hAnsiTheme="minorHAnsi"/>
          <w:bCs/>
          <w:sz w:val="22"/>
          <w:szCs w:val="22"/>
        </w:rPr>
      </w:pPr>
    </w:p>
    <w:p w14:paraId="6CB63AC3" w14:textId="77777777" w:rsidR="00FD3412" w:rsidRDefault="00FD3412" w:rsidP="00FD4937">
      <w:pPr>
        <w:rPr>
          <w:rFonts w:asciiTheme="minorHAnsi" w:hAnsiTheme="minorHAnsi"/>
          <w:bCs/>
          <w:sz w:val="22"/>
          <w:szCs w:val="22"/>
        </w:rPr>
      </w:pPr>
    </w:p>
    <w:p w14:paraId="33377F24" w14:textId="77777777" w:rsidR="00FD3412" w:rsidRDefault="00FD3412" w:rsidP="00FD4937">
      <w:pPr>
        <w:rPr>
          <w:rFonts w:asciiTheme="minorHAnsi" w:hAnsiTheme="minorHAnsi"/>
          <w:bCs/>
          <w:sz w:val="22"/>
          <w:szCs w:val="22"/>
        </w:rPr>
      </w:pPr>
    </w:p>
    <w:p w14:paraId="12CB0F0B" w14:textId="77777777" w:rsidR="00FD3412" w:rsidRDefault="00FD3412" w:rsidP="00FD4937">
      <w:pPr>
        <w:rPr>
          <w:rFonts w:asciiTheme="minorHAnsi" w:hAnsiTheme="minorHAnsi"/>
          <w:bCs/>
          <w:sz w:val="22"/>
          <w:szCs w:val="22"/>
        </w:rPr>
      </w:pPr>
    </w:p>
    <w:p w14:paraId="6C31C530" w14:textId="73154A29"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159182D0" w14:textId="77777777" w:rsidR="00840027" w:rsidRPr="00505C51" w:rsidRDefault="00840027" w:rsidP="0084002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Our study is an exploratory and mechanistic of disease, so it does not involve </w:t>
      </w:r>
      <w:r w:rsidRPr="00505C51">
        <w:rPr>
          <w:rFonts w:asciiTheme="minorHAnsi" w:hAnsiTheme="minorHAnsi"/>
          <w:sz w:val="22"/>
          <w:szCs w:val="22"/>
        </w:rPr>
        <w:t>allocation</w:t>
      </w:r>
      <w:r>
        <w:rPr>
          <w:rFonts w:asciiTheme="minorHAnsi" w:hAnsiTheme="minorHAnsi"/>
          <w:sz w:val="22"/>
          <w:szCs w:val="22"/>
        </w:rPr>
        <w:t xml:space="preserve"> of patients int</w:t>
      </w:r>
      <w:r w:rsidRPr="00505C51">
        <w:rPr>
          <w:rFonts w:asciiTheme="minorHAnsi" w:hAnsiTheme="minorHAnsi"/>
          <w:sz w:val="22"/>
          <w:szCs w:val="22"/>
        </w:rPr>
        <w:t>o treatment method</w:t>
      </w:r>
      <w:r>
        <w:rPr>
          <w:rFonts w:asciiTheme="minorHAnsi" w:hAnsiTheme="minorHAnsi"/>
          <w:sz w:val="22"/>
          <w:szCs w:val="22"/>
        </w:rPr>
        <w:t xml:space="preserve">s or </w:t>
      </w:r>
      <w:r w:rsidRPr="00505C51">
        <w:rPr>
          <w:rFonts w:asciiTheme="minorHAnsi" w:hAnsiTheme="minorHAnsi"/>
          <w:sz w:val="22"/>
          <w:szCs w:val="22"/>
        </w:rPr>
        <w:t>randomization</w:t>
      </w:r>
      <w:r>
        <w:rPr>
          <w:rFonts w:asciiTheme="minorHAnsi" w:hAnsiTheme="minorHAnsi"/>
          <w:sz w:val="22"/>
          <w:szCs w:val="22"/>
        </w:rPr>
        <w:t xml:space="preserve">s. </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F93F96D" w:rsidR="00FD4937" w:rsidRPr="00505C51" w:rsidRDefault="0084002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files for the Figure 2 and Figure 2-figure supplement 2 have been provided.</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21A90" w14:textId="77777777" w:rsidR="003128A9" w:rsidRDefault="003128A9">
      <w:r>
        <w:separator/>
      </w:r>
    </w:p>
  </w:endnote>
  <w:endnote w:type="continuationSeparator" w:id="0">
    <w:p w14:paraId="378A55AB" w14:textId="77777777" w:rsidR="003128A9" w:rsidRDefault="0031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64334" w14:textId="77777777" w:rsidR="003128A9" w:rsidRDefault="003128A9">
      <w:r>
        <w:separator/>
      </w:r>
    </w:p>
  </w:footnote>
  <w:footnote w:type="continuationSeparator" w:id="0">
    <w:p w14:paraId="6AA81D5D" w14:textId="77777777" w:rsidR="003128A9" w:rsidRDefault="00312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128A9"/>
    <w:rsid w:val="00332DC6"/>
    <w:rsid w:val="0042161B"/>
    <w:rsid w:val="00840027"/>
    <w:rsid w:val="00A0248A"/>
    <w:rsid w:val="00A07908"/>
    <w:rsid w:val="00AD37FD"/>
    <w:rsid w:val="00BE5736"/>
    <w:rsid w:val="00D5710F"/>
    <w:rsid w:val="00FD3412"/>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João Luiz</cp:lastModifiedBy>
  <cp:revision>4</cp:revision>
  <dcterms:created xsi:type="dcterms:W3CDTF">2021-08-08T20:29:00Z</dcterms:created>
  <dcterms:modified xsi:type="dcterms:W3CDTF">2021-08-09T09:55:00Z</dcterms:modified>
</cp:coreProperties>
</file>