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Normal"/>
        <w:pBdr/>
        <w:rPr>
          <w:rFonts w:ascii="Calibri" w:hAnsi="Calibri" w:asciiTheme="minorHAnsi" w:hAnsiTheme="minorHAnsi"/>
        </w:rPr>
        <w:framePr w:w="7817" w:h="2747"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rPr>
        <w:t>In the Methods &amp; Materials Section (Tab.1) we give the size of each sample group, further information about clinical background as well as the results of the structure tensor analysis is given in the Appendix Tab.1 and 2;</w:t>
      </w:r>
    </w:p>
    <w:p>
      <w:pPr>
        <w:pStyle w:val="Normal"/>
        <w:pBdr/>
        <w:rPr>
          <w:rFonts w:ascii="Calibri" w:hAnsi="Calibri" w:asciiTheme="minorHAnsi" w:hAnsiTheme="minorHAnsi"/>
        </w:rPr>
        <w:framePr w:w="7817" w:h="2747"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rPr>
        <w:t>Since the work is about a new technique for the quantification of cardiac tissue, it presents illustrative cases. For the quantification of the vascular network, one control sample was compared to a Covid-19 sample. This method is intended to show the increased level of perforated capillaries in Covid-19.  The results are supported by high resolution reconstructions and SEM recordings.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Normal"/>
        <w:pBdr/>
        <w:rPr>
          <w:rFonts w:ascii="Calibri" w:hAnsi="Calibri" w:asciiTheme="minorHAnsi" w:hAnsiTheme="minorHAnsi"/>
        </w:rPr>
        <w:framePr w:w="7817" w:h="1282"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rPr>
        <w:t xml:space="preserve">Relevant here are technical replicates in the tomography, which are provided by observation of the same structure in different magnification and at different photon energy. Also relevant is the phase retrieval process. This information is also described in the M&amp;M section.  </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186" w:x="1904" w:y="2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For each sample the parameters obtained from the structure tensor analysis of the laboratory data is given in Appendix Tab.2. The results of the statistical analysis are also plotted in Fig.5. This section is intended to describe a new way of analyzing data; no special hypothesis was tested.</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736"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 xml:space="preserve">The samples were grouped based on the cause of death, confirmed by pathological examinations. </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Microscopy images of HE stained sections of all samples are shown in Appendix Fig. 1.</w:t>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 xml:space="preserve">The results of the structure tensor analysis of the laboratory is given in Appendix Tab.2; synchrotron results are shown in Appendix Fig.3. The tomographic datasets recorded in WG conﬁguration as well as the PB datasets used for the segmentation of the vascular system were uploaded to Zenodo (see link in MS). Additional data (raw data, PB and laboratory reconstructions, structure tensor analysis) is curated here at University of Göttingen and at DESY can be obtained upon request from the authors; due to the extremely large size &gt;15TB it cannot presently be uploaded easily to a public repository. </w:t>
      </w:r>
      <w:r>
        <w:rPr>
          <w:rFonts w:ascii="Calibri" w:hAnsi="Calibri" w:asciiTheme="minorHAnsi" w:hAnsiTheme="minorHAnsi"/>
          <w:sz w:val="22"/>
          <w:szCs w:val="22"/>
        </w:rPr>
        <w:t>The code used for segmentation is provided at github.com/patmjen/blood-vessel-segmentation.</w:t>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312" w:x="1904" w:y="-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ascii="Calibri" w:hAnsi="Calibri"/>
          <w:sz w:val="22"/>
          <w:szCs w:val="22"/>
        </w:rPr>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1" w:characterSet="utf-8"/>
    <w:family w:val="roman"/>
    <w:pitch w:val="variable"/>
  </w:font>
  <w:font w:name="Lucida Grande">
    <w:charset w:val="01" w:characterSet="utf-8"/>
    <w:family w:val="roman"/>
    <w:pitch w:val="variable"/>
  </w:font>
  <w:font w:name="Liberation Sans">
    <w:altName w:val="Arial"/>
    <w:charset w:val="01" w:characterSet="utf-8"/>
    <w:family w:val="roman"/>
    <w:pitch w:val="variable"/>
  </w:font>
  <w:font w:name="Calibri">
    <w:charset w:val="01" w:characterSet="utf-8"/>
    <w:family w:val="roman"/>
    <w:pitch w:val="variable"/>
  </w:font>
  <w:font w:name="Arial">
    <w:charset w:val="01" w:characterSet="utf-8"/>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start="-709" w:end="360" w:hanging="0"/>
      <w:rPr>
        <w:rFonts w:ascii="Arial" w:hAnsi="Arial"/>
        <w:sz w:val="16"/>
        <w:szCs w:val="16"/>
      </w:rPr>
    </w:pPr>
    <w:r>
      <mc:AlternateContent>
        <mc:Choice Requires="wps">
          <w:drawing>
            <wp:anchor behindDoc="1" distT="0" distB="0" distL="0" distR="0" simplePos="0" locked="0" layoutInCell="0" allowOverlap="1" relativeHeight="4">
              <wp:simplePos x="0" y="0"/>
              <wp:positionH relativeFrom="page">
                <wp:posOffset>6313805</wp:posOffset>
              </wp:positionH>
              <wp:positionV relativeFrom="paragraph">
                <wp:posOffset>123825</wp:posOffset>
              </wp:positionV>
              <wp:extent cx="66040" cy="154305"/>
              <wp:effectExtent l="0" t="0" r="0" b="0"/>
              <wp:wrapSquare wrapText="bothSides"/>
              <wp:docPr id="2" name="Frame6"/>
              <a:graphic xmlns:a="http://schemas.openxmlformats.org/drawingml/2006/main">
                <a:graphicData uri="http://schemas.microsoft.com/office/word/2010/wordprocessingShape">
                  <wps:wsp>
                    <wps:cNvSpPr/>
                    <wps:spPr>
                      <a:xfrm>
                        <a:off x="0" y="0"/>
                        <a:ext cx="65520" cy="153720"/>
                      </a:xfrm>
                      <a:prstGeom prst="rect">
                        <a:avLst/>
                      </a:prstGeom>
                      <a:noFill/>
                      <a:ln w="0">
                        <a:noFill/>
                      </a:ln>
                    </wps:spPr>
                    <wps:style>
                      <a:lnRef idx="0"/>
                      <a:fillRef idx="0"/>
                      <a:effectRef idx="0"/>
                      <a:fontRef idx="minor"/>
                    </wps:style>
                    <wps:txbx>
                      <w:txbxContent>
                        <w:p>
                          <w:pPr>
                            <w:pStyle w:val="Footer"/>
                            <w:rPr>
                              <w:rStyle w:val="Pagenumber"/>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3</w:t>
                          </w:r>
                          <w:r>
                            <w:rPr>
                              <w:rStyle w:val="Pagenumber"/>
                              <w:sz w:val="20"/>
                              <w:szCs w:val="20"/>
                              <w:rFonts w:ascii="Calibri" w:hAnsi="Calibri"/>
                              <w:color w:val="000000"/>
                            </w:rPr>
                            <w:fldChar w:fldCharType="end"/>
                          </w:r>
                        </w:p>
                      </w:txbxContent>
                    </wps:txbx>
                    <wps:bodyPr lIns="0" rIns="0" tIns="0" bIns="0">
                      <a:spAutoFit/>
                    </wps:bodyPr>
                  </wps:wsp>
                </a:graphicData>
              </a:graphic>
            </wp:anchor>
          </w:drawing>
        </mc:Choice>
        <mc:Fallback>
          <w:pict>
            <v:rect id="shape_0" ID="Frame6" stroked="f" style="position:absolute;margin-left:497.15pt;margin-top:9.75pt;width:5.1pt;height:12.05pt;mso-wrap-style:square;v-text-anchor:top;mso-position-horizontal-relative:page">
              <v:fill o:detectmouseclick="t" on="false"/>
              <v:stroke color="#3465a4" joinstyle="round" endcap="flat"/>
              <v:textbox>
                <w:txbxContent>
                  <w:p>
                    <w:pPr>
                      <w:pStyle w:val="Footer"/>
                      <w:rPr>
                        <w:rStyle w:val="Pagenumber"/>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3</w:t>
                    </w:r>
                    <w:r>
                      <w:rPr>
                        <w:rStyle w:val="Pagenumber"/>
                        <w:sz w:val="20"/>
                        <w:szCs w:val="20"/>
                        <w:rFonts w:ascii="Calibri" w:hAnsi="Calibri"/>
                        <w:color w:val="000000"/>
                      </w:rPr>
                      <w:fldChar w:fldCharType="end"/>
                    </w:r>
                  </w:p>
                </w:txbxContent>
              </v:textbox>
              <w10:wrap type="square"/>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start="-1134" w:hanging="0"/>
      <w:rPr/>
    </w:pPr>
    <w:r>
      <w:rPr/>
      <w:drawing>
        <wp:inline distT="0" distB="0" distL="0" distR="0">
          <wp:extent cx="4325620" cy="803275"/>
          <wp:effectExtent l="0" t="0" r="0" b="0"/>
          <wp:docPr id="1"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title=""/>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suppressAutoHyphens w:val="true"/>
      <w:bidi w:val="0"/>
      <w:spacing w:before="0" w:after="0"/>
      <w:jc w:val="star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locked/>
    <w:rsid w:val="004215fe"/>
    <w:rPr>
      <w:rFonts w:ascii="Lucida Grande" w:hAnsi="Lucida Grande" w:cs="Lucida Grande"/>
      <w:sz w:val="18"/>
      <w:szCs w:val="18"/>
    </w:rPr>
  </w:style>
  <w:style w:type="character" w:styleId="KopfzeileZchn" w:customStyle="1">
    <w:name w:val="Kopfzeile Zchn"/>
    <w:basedOn w:val="DefaultParagraphFont"/>
    <w:link w:val="Kopfzeile"/>
    <w:uiPriority w:val="99"/>
    <w:qFormat/>
    <w:locked/>
    <w:rsid w:val="004215fe"/>
    <w:rPr>
      <w:rFonts w:cs="Times New Roman"/>
    </w:rPr>
  </w:style>
  <w:style w:type="character" w:styleId="FuzeileZchn" w:customStyle="1">
    <w:name w:val="Fußzeile Zchn"/>
    <w:basedOn w:val="DefaultParagraphFont"/>
    <w:link w:val="Fuzeile"/>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KommentartextZchn" w:customStyle="1">
    <w:name w:val="Kommentartext Zchn"/>
    <w:basedOn w:val="DefaultParagraphFont"/>
    <w:link w:val="Kommentartext"/>
    <w:uiPriority w:val="99"/>
    <w:semiHidden/>
    <w:qFormat/>
    <w:rsid w:val="00fe362b"/>
    <w:rPr>
      <w:sz w:val="24"/>
      <w:szCs w:val="24"/>
    </w:rPr>
  </w:style>
  <w:style w:type="character" w:styleId="KommentarthemaZchn" w:customStyle="1">
    <w:name w:val="Kommentarthema Zchn"/>
    <w:basedOn w:val="KommentartextZchn"/>
    <w:link w:val="Kommentarthema"/>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Tahoma"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BalloonText">
    <w:name w:val="Balloon Text"/>
    <w:basedOn w:val="Normal"/>
    <w:link w:val="SprechblasentextZchn"/>
    <w:uiPriority w:val="99"/>
    <w:semiHidden/>
    <w:qFormat/>
    <w:rsid w:val="004215fe"/>
    <w:pPr/>
    <w:rPr>
      <w:rFonts w:ascii="Lucida Grande" w:hAnsi="Lucida Grande" w:cs="Lucida Grande"/>
      <w:sz w:val="18"/>
      <w:szCs w:val="18"/>
    </w:rPr>
  </w:style>
  <w:style w:type="paragraph" w:styleId="HeaderandFooter" w:customStyle="1">
    <w:name w:val="Header and Footer"/>
    <w:basedOn w:val="Normal"/>
    <w:qFormat/>
    <w:pPr/>
    <w:rPr/>
  </w:style>
  <w:style w:type="paragraph" w:styleId="Header">
    <w:name w:val="Header"/>
    <w:basedOn w:val="Normal"/>
    <w:link w:val="KopfzeileZchn"/>
    <w:uiPriority w:val="99"/>
    <w:rsid w:val="004215fe"/>
    <w:pPr>
      <w:tabs>
        <w:tab w:val="clear" w:pos="720"/>
        <w:tab w:val="center" w:pos="4320" w:leader="none"/>
        <w:tab w:val="right" w:pos="8640" w:leader="none"/>
      </w:tabs>
    </w:pPr>
    <w:rPr/>
  </w:style>
  <w:style w:type="paragraph" w:styleId="Footer">
    <w:name w:val="Footer"/>
    <w:basedOn w:val="Normal"/>
    <w:link w:val="FuzeileZchn"/>
    <w:uiPriority w:val="99"/>
    <w:rsid w:val="004215fe"/>
    <w:pPr>
      <w:tabs>
        <w:tab w:val="clear" w:pos="720"/>
        <w:tab w:val="center" w:pos="4320" w:leader="none"/>
        <w:tab w:val="right" w:pos="8640" w:leader="none"/>
      </w:tabs>
    </w:pPr>
    <w:rPr/>
  </w:style>
  <w:style w:type="paragraph" w:styleId="Annotationtext">
    <w:name w:val="annotation text"/>
    <w:basedOn w:val="Normal"/>
    <w:link w:val="KommentartextZchn"/>
    <w:uiPriority w:val="99"/>
    <w:semiHidden/>
    <w:unhideWhenUsed/>
    <w:qFormat/>
    <w:rsid w:val="00fe362b"/>
    <w:pPr/>
    <w:rPr/>
  </w:style>
  <w:style w:type="paragraph" w:styleId="Annotationsubject">
    <w:name w:val="annotation subject"/>
    <w:basedOn w:val="Annotationtext"/>
    <w:next w:val="Annotationtext"/>
    <w:link w:val="KommentarthemaZchn"/>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start="720" w:hanging="0"/>
      <w:contextualSpacing/>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8AE2-02AC-4FCA-B042-16C0B72B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LibreOffice/7.0.6.2$Linux_X86_64 LibreOffice_project/00$Build-2</Application>
  <AppVersion>15.0000</AppVersion>
  <Pages>3</Pages>
  <Words>1012</Words>
  <Characters>5575</Characters>
  <CharactersWithSpaces>6529</CharactersWithSpaces>
  <Paragraphs>44</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2021-07-20T06:39:00Z</dcterms:created>
  <dc:creator>Andy Collings</dc:creator>
  <dc:description/>
  <dc:language>en-US</dc:language>
  <cp:lastModifiedBy/>
  <dcterms:modified xsi:type="dcterms:W3CDTF">2021-11-04T16:41:26Z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