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68E3E5" w:rsidR="00877644" w:rsidRPr="00125190" w:rsidRDefault="009323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proofErr w:type="spellStart"/>
      <w:r>
        <w:rPr>
          <w:rFonts w:asciiTheme="minorHAnsi" w:hAnsiTheme="minorHAnsi"/>
        </w:rPr>
        <w:t>apriori</w:t>
      </w:r>
      <w:proofErr w:type="spellEnd"/>
      <w:r>
        <w:rPr>
          <w:rFonts w:asciiTheme="minorHAnsi" w:hAnsiTheme="minorHAnsi"/>
        </w:rPr>
        <w:t xml:space="preserve"> power analysis is described under Methods/sample, submissions lines 104-111 and further detail is provided in Table 1 of the Supplemental Materials S1.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EAB43C3" w:rsidR="00B330BD" w:rsidRPr="00125190" w:rsidRDefault="00195B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Reporting replicates is not relevant to this behavioral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C9D8E4" w:rsidR="0015519A" w:rsidRPr="00505C51" w:rsidRDefault="00195B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methods are described in under Methods/statistical analysis, submission lines 171-192 and under the heading Secondary Analyses, lines 235-247.  Ns are reported in Table 1, line 123. Effect sizes for the major findings are given in tables 6 and 8.  Data distributions, means, medians, IQR are displayed in box and whisker plots, Figure 2, below line 220.  Multiple comparisons are not really an issue here.  There are only 2 primary analyses, both are factorial designs that estimate all effects of interest simultaneously within the same model.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3769DA" w:rsidR="00BC3CCE" w:rsidRPr="00505C51" w:rsidRDefault="003425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selection of applications is described in Methods/sample, submission lines 112-123.  Blinding of reviewers to applicant characteristics is a central manipulation of the experiment and is thoroughly described.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4CF001" w:rsidR="00BC3CCE" w:rsidRPr="00505C51" w:rsidRDefault="003425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Data required to replicate the analyses are included in the Data Tables submitted in the supplemental materials.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8758D" w14:textId="77777777" w:rsidR="0075694D" w:rsidRDefault="0075694D" w:rsidP="004215FE">
      <w:r>
        <w:separator/>
      </w:r>
    </w:p>
  </w:endnote>
  <w:endnote w:type="continuationSeparator" w:id="0">
    <w:p w14:paraId="060380B3" w14:textId="77777777" w:rsidR="0075694D" w:rsidRDefault="007569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5AB8" w14:textId="77777777" w:rsidR="0075694D" w:rsidRDefault="0075694D" w:rsidP="004215FE">
      <w:r>
        <w:separator/>
      </w:r>
    </w:p>
  </w:footnote>
  <w:footnote w:type="continuationSeparator" w:id="0">
    <w:p w14:paraId="4ECCC199" w14:textId="77777777" w:rsidR="0075694D" w:rsidRDefault="007569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0BFAF2D-C2D2-4B45-9848-35997CD305DD}"/>
    <w:docVar w:name="dgnword-eventsink" w:val="752709864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5B5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55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694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23DD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76EB2B8-A09D-4ED8-A140-99CDE6D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Reed, Bruce (NIH/CSR) [E]</cp:lastModifiedBy>
  <cp:revision>3</cp:revision>
  <dcterms:created xsi:type="dcterms:W3CDTF">2021-06-17T20:50:00Z</dcterms:created>
  <dcterms:modified xsi:type="dcterms:W3CDTF">2021-06-17T21:08:00Z</dcterms:modified>
</cp:coreProperties>
</file>