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30E49F9" w:rsidR="00877644" w:rsidRPr="00125190" w:rsidRDefault="007D4A4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was not computed when the study was designed. Approximately 100 embryos were injected per targeting experiment, with the goal of raising 30 founders to adulthood to screen for germline transmission. Two factors can impact founder fish sample size. First, the number of embryos injected in a given morning, which can be small due to low fertilization rates. Second, fluctuation in the survival rate of juvenile fish to adulthood due to paramecia culture variability impacts the number of founders available to screen for germline transmission. </w:t>
      </w:r>
      <w:r w:rsidR="00E34BC3">
        <w:rPr>
          <w:rFonts w:asciiTheme="minorHAnsi" w:hAnsiTheme="minorHAnsi"/>
        </w:rPr>
        <w:t>Genotypic, phenotypic and quantification analyses were performed in triplicate (three biological replicates of each confirmed genotype) which provided sufficient statistical power.</w:t>
      </w:r>
      <w:r w:rsidR="00240E70">
        <w:rPr>
          <w:rFonts w:asciiTheme="minorHAnsi" w:hAnsiTheme="minorHAnsi"/>
        </w:rPr>
        <w:t xml:space="preserve"> Source data files for all quantitative measurements have been provided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E979D3F" w:rsidR="00B330BD" w:rsidRPr="00125190" w:rsidRDefault="007D4A4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Each injection experiment was repeated at least three times. For injection experiments, replicates were both biological (different batches of embryos and needles) and technical (different injections in the same batch of embryos). Biological and technical replicates for quantitative PCR are described in the materials and methods. Conditional gene inactivation, phenotypic analysis, and quantification were performed on  three biological replicates as described in the figure legends and materials and methods. Figure legends describe the statistical methods used</w:t>
      </w:r>
      <w:r w:rsidR="00240E70">
        <w:rPr>
          <w:rFonts w:asciiTheme="minorHAnsi" w:hAnsiTheme="minorHAnsi"/>
        </w:rPr>
        <w:t xml:space="preserve"> and n=sample size</w:t>
      </w:r>
      <w:r>
        <w:rPr>
          <w:rFonts w:asciiTheme="minorHAnsi" w:hAnsiTheme="minorHAnsi"/>
        </w:rPr>
        <w:t xml:space="preserve">.  </w:t>
      </w:r>
      <w:r w:rsidR="00240E70">
        <w:rPr>
          <w:rFonts w:asciiTheme="minorHAnsi" w:hAnsiTheme="minorHAnsi"/>
        </w:rPr>
        <w:t>Source data files for all quantitative measurements presented in each figure have been provided in the section “Additional Data Files”.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C611F47" w14:textId="3B51DA06" w:rsidR="002B1628" w:rsidRPr="00505C51" w:rsidRDefault="00E34BC3" w:rsidP="002B162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 value, s</w:t>
      </w:r>
      <w:r w:rsidR="002B1628">
        <w:rPr>
          <w:rFonts w:asciiTheme="minorHAnsi" w:hAnsiTheme="minorHAnsi"/>
          <w:sz w:val="22"/>
          <w:szCs w:val="22"/>
        </w:rPr>
        <w:t>tatistical test</w:t>
      </w:r>
      <w:r>
        <w:rPr>
          <w:rFonts w:asciiTheme="minorHAnsi" w:hAnsiTheme="minorHAnsi"/>
          <w:sz w:val="22"/>
          <w:szCs w:val="22"/>
        </w:rPr>
        <w:t>, and mean +- SEM</w:t>
      </w:r>
      <w:r w:rsidR="002B1628">
        <w:rPr>
          <w:rFonts w:asciiTheme="minorHAnsi" w:hAnsiTheme="minorHAnsi"/>
          <w:sz w:val="22"/>
          <w:szCs w:val="22"/>
        </w:rPr>
        <w:t xml:space="preserve"> </w:t>
      </w:r>
      <w:r>
        <w:rPr>
          <w:rFonts w:asciiTheme="minorHAnsi" w:hAnsiTheme="minorHAnsi"/>
          <w:sz w:val="22"/>
          <w:szCs w:val="22"/>
        </w:rPr>
        <w:t>were</w:t>
      </w:r>
      <w:r w:rsidR="002B1628">
        <w:rPr>
          <w:rFonts w:asciiTheme="minorHAnsi" w:hAnsiTheme="minorHAnsi"/>
          <w:sz w:val="22"/>
          <w:szCs w:val="22"/>
        </w:rPr>
        <w:t xml:space="preserve"> indicated in each figure legend. P values </w:t>
      </w:r>
      <w:r>
        <w:rPr>
          <w:rFonts w:asciiTheme="minorHAnsi" w:hAnsiTheme="minorHAnsi"/>
          <w:sz w:val="22"/>
          <w:szCs w:val="22"/>
        </w:rPr>
        <w:t>we</w:t>
      </w:r>
      <w:r w:rsidR="002B1628">
        <w:rPr>
          <w:rFonts w:asciiTheme="minorHAnsi" w:hAnsiTheme="minorHAnsi"/>
          <w:sz w:val="22"/>
          <w:szCs w:val="22"/>
        </w:rPr>
        <w:t>re reported in the figure legend</w:t>
      </w:r>
      <w:r>
        <w:rPr>
          <w:rFonts w:asciiTheme="minorHAnsi" w:hAnsiTheme="minorHAnsi"/>
          <w:sz w:val="22"/>
          <w:szCs w:val="22"/>
        </w:rPr>
        <w:t>s</w:t>
      </w:r>
      <w:r w:rsidR="002B1628">
        <w:rPr>
          <w:rFonts w:asciiTheme="minorHAnsi" w:hAnsiTheme="minorHAnsi"/>
          <w:sz w:val="22"/>
          <w:szCs w:val="22"/>
        </w:rPr>
        <w:t>.</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63C4173" w:rsidR="00BC3CCE" w:rsidRPr="00505C51" w:rsidRDefault="00E34BC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conditional gene inactivation experiments, s</w:t>
      </w:r>
      <w:r w:rsidR="002B1628">
        <w:rPr>
          <w:rFonts w:asciiTheme="minorHAnsi" w:hAnsiTheme="minorHAnsi"/>
          <w:sz w:val="22"/>
          <w:szCs w:val="22"/>
        </w:rPr>
        <w:t xml:space="preserve">amples were </w:t>
      </w:r>
      <w:r>
        <w:rPr>
          <w:rFonts w:asciiTheme="minorHAnsi" w:hAnsiTheme="minorHAnsi"/>
          <w:sz w:val="22"/>
          <w:szCs w:val="22"/>
        </w:rPr>
        <w:t xml:space="preserve">first </w:t>
      </w:r>
      <w:r w:rsidR="002B1628">
        <w:rPr>
          <w:rFonts w:asciiTheme="minorHAnsi" w:hAnsiTheme="minorHAnsi"/>
          <w:sz w:val="22"/>
          <w:szCs w:val="22"/>
        </w:rPr>
        <w:t xml:space="preserve">sorted based on expression of fluorescence reporters and gross morphological phenotype, followed by molecular analysis to confirm genotype. For quantitative RT-PCR, </w:t>
      </w:r>
      <w:r>
        <w:rPr>
          <w:rFonts w:asciiTheme="minorHAnsi" w:hAnsiTheme="minorHAnsi"/>
          <w:sz w:val="22"/>
          <w:szCs w:val="22"/>
        </w:rPr>
        <w:t>25 random embryos were selected, individually genotyped, then 5 individual head samples of the same genotype pooled for RNA extraction. No masking was used in group allocation.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0B68A0F" w:rsidR="00BC3CCE" w:rsidRPr="00505C51" w:rsidRDefault="00E34BC3" w:rsidP="00E34BC3">
      <w:pPr>
        <w:framePr w:w="7817" w:h="571" w:hSpace="180" w:wrap="around" w:vAnchor="text" w:hAnchor="page" w:x="1884" w:y="13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Additional data were provided in the supplemental tables</w:t>
      </w:r>
    </w:p>
    <w:p w14:paraId="08C9EF2F" w14:textId="77777777" w:rsidR="00A62B52" w:rsidRPr="00406FF4" w:rsidRDefault="00A62B52" w:rsidP="00E34BC3">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3CDD" w14:textId="77777777" w:rsidR="007C187C" w:rsidRDefault="007C187C" w:rsidP="004215FE">
      <w:r>
        <w:separator/>
      </w:r>
    </w:p>
  </w:endnote>
  <w:endnote w:type="continuationSeparator" w:id="0">
    <w:p w14:paraId="332E2F8F" w14:textId="77777777" w:rsidR="007C187C" w:rsidRDefault="007C187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0EC6" w14:textId="77777777" w:rsidR="007C187C" w:rsidRDefault="007C187C" w:rsidP="004215FE">
      <w:r>
        <w:separator/>
      </w:r>
    </w:p>
  </w:footnote>
  <w:footnote w:type="continuationSeparator" w:id="0">
    <w:p w14:paraId="136BC319" w14:textId="77777777" w:rsidR="007C187C" w:rsidRDefault="007C187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0E70"/>
    <w:rsid w:val="00241081"/>
    <w:rsid w:val="00266462"/>
    <w:rsid w:val="002A068D"/>
    <w:rsid w:val="002A0ED1"/>
    <w:rsid w:val="002A7487"/>
    <w:rsid w:val="002B1628"/>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87C"/>
    <w:rsid w:val="007C1A97"/>
    <w:rsid w:val="007D18C3"/>
    <w:rsid w:val="007D4A45"/>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B32C5"/>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34BC3"/>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802BE8A0-0A80-FA4D-B0C9-8CEFB066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Maura McGrail</cp:lastModifiedBy>
  <cp:revision>4</cp:revision>
  <dcterms:created xsi:type="dcterms:W3CDTF">2021-07-07T00:48:00Z</dcterms:created>
  <dcterms:modified xsi:type="dcterms:W3CDTF">2022-05-09T14:15:00Z</dcterms:modified>
</cp:coreProperties>
</file>