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B05" w:rsidRPr="00E4550B" w:rsidRDefault="00206B05" w:rsidP="00206B05">
      <w:pPr>
        <w:spacing w:line="480" w:lineRule="auto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 xml:space="preserve">Supplementary File 2 </w:t>
      </w:r>
    </w:p>
    <w:p w:rsidR="00206B05" w:rsidRPr="00E4550B" w:rsidRDefault="00206B05" w:rsidP="00206B05">
      <w:pPr>
        <w:spacing w:line="480" w:lineRule="auto"/>
        <w:ind w:right="-63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 xml:space="preserve">dentification (method of ID, marker and strain indicated for each neuron) to determine </w:t>
      </w:r>
      <w:r w:rsidRPr="00735DF0">
        <w:rPr>
          <w:rFonts w:ascii="Arial" w:hAnsi="Arial" w:cs="Arial"/>
          <w:i/>
          <w:color w:val="000000" w:themeColor="text1"/>
          <w:sz w:val="22"/>
          <w:szCs w:val="22"/>
        </w:rPr>
        <w:t xml:space="preserve">ckr-1 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>expressing neurons. *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 xml:space="preserve">Indicated strains were crossed into </w:t>
      </w:r>
      <w:r w:rsidRPr="00735DF0">
        <w:rPr>
          <w:rFonts w:ascii="Arial" w:hAnsi="Arial" w:cs="Arial"/>
          <w:i/>
          <w:color w:val="000000" w:themeColor="text1"/>
          <w:sz w:val="22"/>
          <w:szCs w:val="22"/>
        </w:rPr>
        <w:t>ufIs141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5DF0">
        <w:rPr>
          <w:rFonts w:ascii="Arial" w:hAnsi="Arial" w:cs="Arial"/>
          <w:i/>
          <w:color w:val="000000" w:themeColor="text1"/>
          <w:sz w:val="22"/>
          <w:szCs w:val="22"/>
        </w:rPr>
        <w:t xml:space="preserve">(Pckr-1::ckr-1::SL2::GFP) 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>to generate strains to determine colocalization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565A75">
        <w:rPr>
          <w:rFonts w:ascii="Arial" w:hAnsi="Arial" w:cs="Arial"/>
          <w:color w:val="000000" w:themeColor="text1"/>
          <w:sz w:val="22"/>
          <w:szCs w:val="22"/>
          <w:vertAlign w:val="superscript"/>
        </w:rPr>
        <w:t>#</w:t>
      </w:r>
      <w:r w:rsidRPr="00735DF0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 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 xml:space="preserve">+ or – indicates presence or absence of </w:t>
      </w:r>
      <w:r w:rsidRPr="00735DF0">
        <w:rPr>
          <w:rFonts w:ascii="Arial" w:hAnsi="Arial" w:cs="Arial"/>
          <w:i/>
          <w:color w:val="000000" w:themeColor="text1"/>
          <w:sz w:val="22"/>
          <w:szCs w:val="22"/>
        </w:rPr>
        <w:t xml:space="preserve">ckr-1 </w:t>
      </w:r>
      <w:r w:rsidRPr="00735DF0">
        <w:rPr>
          <w:rFonts w:ascii="Arial" w:hAnsi="Arial" w:cs="Arial"/>
          <w:color w:val="000000" w:themeColor="text1"/>
          <w:sz w:val="22"/>
          <w:szCs w:val="22"/>
        </w:rPr>
        <w:t xml:space="preserve">expression in identified neuron. 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554"/>
        <w:gridCol w:w="1606"/>
        <w:gridCol w:w="806"/>
        <w:gridCol w:w="1632"/>
        <w:gridCol w:w="1777"/>
        <w:gridCol w:w="1117"/>
        <w:gridCol w:w="1966"/>
      </w:tblGrid>
      <w:tr w:rsidR="00206B05" w:rsidRPr="00735DF0" w:rsidTr="005A35BA">
        <w:tc>
          <w:tcPr>
            <w:tcW w:w="1554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Neuron type</w:t>
            </w: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Neuron class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ckr-1</w:t>
            </w: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#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Method of identification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Marker 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Strain*</w:t>
            </w: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206B05" w:rsidRPr="00735DF0" w:rsidTr="005A35BA">
        <w:tc>
          <w:tcPr>
            <w:tcW w:w="1554" w:type="dxa"/>
            <w:vMerge w:val="restart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Sensory</w:t>
            </w: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ASK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  <w:vertAlign w:val="subscript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DiI staining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ASI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DiI staining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AWB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DiI staining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ASH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DiI staining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PHA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Dye uptake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PHB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Dye uptake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NSM (motor+ sensory)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Anatomical +     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Ptph-1::GFP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mgIs42</w:t>
            </w:r>
          </w:p>
        </w:tc>
        <w:tc>
          <w:tcPr>
            <w:tcW w:w="1966" w:type="dxa"/>
          </w:tcPr>
          <w:p w:rsidR="00206B05" w:rsidRPr="00D24F53" w:rsidRDefault="008D44F2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SmartCite Citation"/>
                <w:tag w:val="b5174c36-36a3-41bf-b737-86896822d84f:5e150a41-c4b6-47fd-b4a7-22e63d05c103+"/>
                <w:id w:val="1975255752"/>
                <w:placeholder>
                  <w:docPart w:val="A69CFF1242CB8F4A8751CB09E1648859"/>
                </w:placeholder>
              </w:sdtPr>
              <w:sdtEndPr/>
              <w:sdtContent>
                <w:r w:rsidR="00B15DBF"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(Sze et al., 2000)</w:t>
                </w:r>
              </w:sdtContent>
            </w:sdt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IL1, IL2 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OLQ, OLV 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BAG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 w:val="restart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Interneuron</w:t>
            </w: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AIA (Ach)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Psra-11::GFP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otIs123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ce6424cb-f233-4a5b-a361-9a1e65517d19+"/>
            <w:id w:val="-321188583"/>
            <w:placeholder>
              <w:docPart w:val="A69CFF1242CB8F4A8751CB09E1648859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(Altun-Gultekin et al., 2001)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AIY 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Colocalization* 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Pttx-3::GFP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mgIs18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74347ecc-706f-412c-8d11-afe4bae5a8ff+"/>
            <w:id w:val="1421670800"/>
            <w:placeholder>
              <w:docPart w:val="A69CFF1242CB8F4A8751CB09E1648859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widowControl w:val="0"/>
                  <w:autoSpaceDE w:val="0"/>
                  <w:autoSpaceDN w:val="0"/>
                  <w:adjustRightInd w:val="0"/>
                  <w:spacing w:after="240" w:line="200" w:lineRule="atLeas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(Hobert et al., 1997)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AIB (Ach)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Podr-2(2b)::GFP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kyIs51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b5bb3c7f-7159-41e5-97c9-d39918feb9f1+"/>
            <w:id w:val="324409930"/>
            <w:placeholder>
              <w:docPart w:val="57604739766C724EA96D906EA7BA1AA6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widowControl w:val="0"/>
                  <w:autoSpaceDE w:val="0"/>
                  <w:autoSpaceDN w:val="0"/>
                  <w:adjustRightInd w:val="0"/>
                  <w:spacing w:after="240" w:line="200" w:lineRule="atLeas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(Chou et al., 2001)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AVL (GABA)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Punc-47::GFP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oxIs12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ba825286-6353-40cc-8e8e-1ae7e5ae3e7e+"/>
            <w:id w:val="-236635878"/>
            <w:placeholder>
              <w:docPart w:val="A69CFF1242CB8F4A8751CB09E1648859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(McIntire et al., 1997)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RIS (GABA)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Punc-47::GFP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oxIs12 </w:t>
            </w:r>
          </w:p>
        </w:tc>
        <w:tc>
          <w:tcPr>
            <w:tcW w:w="1966" w:type="dxa"/>
          </w:tcPr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RIG (glutamate)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Podr-2(18)::GFP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ufEx863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b5bb3c7f-7159-41e5-97c9-d39918feb9f1+"/>
            <w:id w:val="-919026675"/>
            <w:placeholder>
              <w:docPart w:val="57604739766C724EA96D906EA7BA1AA6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widowControl w:val="0"/>
                  <w:autoSpaceDE w:val="0"/>
                  <w:autoSpaceDN w:val="0"/>
                  <w:adjustRightInd w:val="0"/>
                  <w:spacing w:after="240" w:line="200" w:lineRule="atLeas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(Chou et al., 2001)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RIS 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Colocalization* 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Pser-4::GFP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adEx1616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09f984bc-507a-4cf0-8380-1daf1041f56f+"/>
            <w:id w:val="1433780324"/>
            <w:placeholder>
              <w:docPart w:val="DefaultPlaceholder_-1854013440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widowControl w:val="0"/>
                  <w:autoSpaceDE w:val="0"/>
                  <w:autoSpaceDN w:val="0"/>
                  <w:adjustRightInd w:val="0"/>
                  <w:spacing w:after="240" w:line="200" w:lineRule="atLeas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(Gürel et al., 2012)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PVQ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Colocalization* 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Psra-6::GFP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oyIs14 </w:t>
            </w:r>
          </w:p>
        </w:tc>
        <w:tc>
          <w:tcPr>
            <w:tcW w:w="1966" w:type="dxa"/>
          </w:tcPr>
          <w:p w:rsidR="00206B05" w:rsidRPr="00D24F53" w:rsidRDefault="008D44F2" w:rsidP="005A35BA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alias w:val="SmartCite Citation"/>
                <w:tag w:val="b5174c36-36a3-41bf-b737-86896822d84f:1cd27e2c-995c-4bcf-8a9a-7767148be8da+"/>
                <w:id w:val="-1901582635"/>
                <w:placeholder>
                  <w:docPart w:val="A69CFF1242CB8F4A8751CB09E1648859"/>
                </w:placeholder>
              </w:sdtPr>
              <w:sdtEndPr/>
              <w:sdtContent>
                <w:r w:rsidR="00B15DBF"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(Aurelio et al., 2003)</w:t>
                </w:r>
              </w:sdtContent>
            </w:sdt>
          </w:p>
        </w:tc>
      </w:tr>
      <w:tr w:rsidR="00206B05" w:rsidRPr="00735DF0" w:rsidTr="005A35BA">
        <w:tc>
          <w:tcPr>
            <w:tcW w:w="1554" w:type="dxa"/>
            <w:vMerge w:val="restart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Head motor</w:t>
            </w: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RMEV/D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Punc-47::GFP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oxIs12</w:t>
            </w:r>
          </w:p>
        </w:tc>
        <w:tc>
          <w:tcPr>
            <w:tcW w:w="1966" w:type="dxa"/>
          </w:tcPr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SMDV/D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Plad-2::GFP</w:t>
            </w: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322947" w:rsidRDefault="00322947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322947" w:rsidRDefault="00322947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Plgc-55::GFP</w:t>
            </w: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Podr-2(16)::GFP</w:t>
            </w: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Pflp-22(∆4)::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</w:t>
            </w: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otIs337 </w:t>
            </w:r>
          </w:p>
          <w:p w:rsidR="00206B05" w:rsidRPr="00735DF0" w:rsidRDefault="00206B05" w:rsidP="005A35BA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322947" w:rsidRDefault="00322947" w:rsidP="005A35BA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322947" w:rsidRDefault="00322947" w:rsidP="005A35BA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zfIs6</w:t>
            </w: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06B05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ufEx1485</w:t>
            </w:r>
          </w:p>
          <w:p w:rsidR="00322947" w:rsidRDefault="00322947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A00142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ufEx1504</w:t>
            </w:r>
          </w:p>
        </w:tc>
        <w:tc>
          <w:tcPr>
            <w:tcW w:w="196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SmartCite Citation"/>
              <w:tag w:val="b5174c36-36a3-41bf-b737-86896822d84f:9f8b7923-0377-45f2-8991-2ebb1299ec10+"/>
              <w:id w:val="1211465524"/>
              <w:placeholder>
                <w:docPart w:val="A69CFF1242CB8F4A8751CB09E1648859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(Wang et al., 2008)</w:t>
                </w:r>
              </w:p>
            </w:sdtContent>
          </w:sdt>
          <w:p w:rsidR="00206B05" w:rsidRPr="00D24F53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SmartCite Citation"/>
              <w:tag w:val="b5174c36-36a3-41bf-b737-86896822d84f:77f72112-1b95-436c-a6d9-bff35922eaf5+"/>
              <w:id w:val="-1698299287"/>
              <w:placeholder>
                <w:docPart w:val="57604739766C724EA96D906EA7BA1AA6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(Pirri et al., 2009)</w:t>
                </w:r>
              </w:p>
            </w:sdtContent>
          </w:sdt>
          <w:p w:rsidR="00206B05" w:rsidRPr="00D24F53" w:rsidRDefault="00206B05" w:rsidP="005A35BA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alias w:val="SmartCite Citation"/>
              <w:tag w:val="b5174c36-36a3-41bf-b737-86896822d84f:b5bb3c7f-7159-41e5-97c9-d39918feb9f1+"/>
              <w:id w:val="-533648397"/>
              <w:placeholder>
                <w:docPart w:val="A69CFF1242CB8F4A8751CB09E1648859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(Chou et al., 2001)</w:t>
                </w:r>
              </w:p>
            </w:sdtContent>
          </w:sdt>
          <w:p w:rsidR="004D52C8" w:rsidRDefault="004D52C8" w:rsidP="005A35BA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  <w:p w:rsidR="00664D15" w:rsidRPr="00D24F53" w:rsidRDefault="00664D15" w:rsidP="005A35BA">
            <w:pPr>
              <w:spacing w:line="240" w:lineRule="exact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</w:p>
          <w:sdt>
            <w:sdtPr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alias w:val="SmartCite Citation"/>
              <w:tag w:val="b5174c36-36a3-41bf-b737-86896822d84f:c9e4b961-5807-48c3-9192-485400690200+"/>
              <w:id w:val="547414742"/>
              <w:placeholder>
                <w:docPart w:val="A69CFF1242CB8F4A8751CB09E1648859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(Yeon et al., 2018)</w:t>
                </w:r>
              </w:p>
            </w:sdtContent>
          </w:sdt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RIV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Pnpr-4::RFP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dbEx721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alias w:val="SmartCite Citation"/>
            <w:tag w:val="b5174c36-36a3-41bf-b737-86896822d84f:557b5d0e-dc7b-4f88-b907-3f4f73685830+"/>
            <w:id w:val="1753003905"/>
            <w:placeholder>
              <w:docPart w:val="A69CFF1242CB8F4A8751CB09E1648859"/>
            </w:placeholder>
          </w:sdtPr>
          <w:sdtEndPr/>
          <w:sdtContent>
            <w:tc>
              <w:tcPr>
                <w:tcW w:w="1966" w:type="dxa"/>
              </w:tcPr>
              <w:p w:rsidR="00206B05" w:rsidRPr="00D24F53" w:rsidRDefault="00B15DBF" w:rsidP="005A35BA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(Cohen et al., 2009)</w:t>
                </w:r>
              </w:p>
            </w:tc>
          </w:sdtContent>
        </w:sdt>
      </w:tr>
      <w:tr w:rsidR="00206B05" w:rsidRPr="00735DF0" w:rsidTr="005A35BA">
        <w:tc>
          <w:tcPr>
            <w:tcW w:w="1554" w:type="dxa"/>
            <w:vMerge w:val="restart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Ventral cord motor</w:t>
            </w: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Cholinergic</w:t>
            </w: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VA/VB/DA/DB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Punc-17::GFP</w:t>
            </w:r>
          </w:p>
          <w:p w:rsidR="007F2F67" w:rsidRDefault="007F2F67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Pacr-2::mCherry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vsIs48 </w:t>
            </w:r>
          </w:p>
          <w:p w:rsidR="007F2F67" w:rsidRDefault="007F2F67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ufIs43</w:t>
            </w:r>
          </w:p>
        </w:tc>
        <w:tc>
          <w:tcPr>
            <w:tcW w:w="196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SmartCite Citation"/>
              <w:tag w:val="b5174c36-36a3-41bf-b737-86896822d84f:1e1a1581-fc9f-43ab-a8e1-511a7c7e9a24+"/>
              <w:id w:val="-2124914536"/>
              <w:placeholder>
                <w:docPart w:val="A69CFF1242CB8F4A8751CB09E1648859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(Alfonso et al., 1993)</w:t>
                </w:r>
              </w:p>
            </w:sdtContent>
          </w:sdt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alias w:val="SmartCite Citation"/>
              <w:tag w:val="b5174c36-36a3-41bf-b737-86896822d84f:c9c73bc3-96ec-4ed0-acb9-767ba7a5b050+"/>
              <w:id w:val="315920117"/>
              <w:placeholder>
                <w:docPart w:val="A69CFF1242CB8F4A8751CB09E1648859"/>
              </w:placeholder>
            </w:sdtPr>
            <w:sdtEndPr/>
            <w:sdtContent>
              <w:p w:rsidR="00206B05" w:rsidRPr="00D24F53" w:rsidRDefault="00B15DBF" w:rsidP="005A35BA">
                <w:pPr>
                  <w:spacing w:line="240" w:lineRule="exact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D24F53">
                  <w:rPr>
                    <w:rFonts w:ascii="Arial" w:eastAsia="Times New Roman" w:hAnsi="Arial" w:cs="Arial"/>
                    <w:color w:val="000000"/>
                    <w:sz w:val="20"/>
                    <w:szCs w:val="20"/>
                  </w:rPr>
                  <w:t>(Petrash et al., 2013)</w:t>
                </w:r>
              </w:p>
            </w:sdtContent>
          </w:sdt>
        </w:tc>
      </w:tr>
      <w:tr w:rsidR="00206B05" w:rsidRPr="00735DF0" w:rsidTr="005A35BA">
        <w:tc>
          <w:tcPr>
            <w:tcW w:w="1554" w:type="dxa"/>
            <w:vMerge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GABAergic</w:t>
            </w:r>
          </w:p>
        </w:tc>
        <w:tc>
          <w:tcPr>
            <w:tcW w:w="80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color w:val="000000" w:themeColor="text1"/>
                <w:sz w:val="20"/>
                <w:szCs w:val="20"/>
              </w:rPr>
              <w:t>Colocalization*</w:t>
            </w:r>
          </w:p>
        </w:tc>
        <w:tc>
          <w:tcPr>
            <w:tcW w:w="177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Punc-47::GFP</w:t>
            </w:r>
          </w:p>
        </w:tc>
        <w:tc>
          <w:tcPr>
            <w:tcW w:w="1117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35DF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oxIs12</w:t>
            </w:r>
          </w:p>
        </w:tc>
        <w:tc>
          <w:tcPr>
            <w:tcW w:w="1966" w:type="dxa"/>
          </w:tcPr>
          <w:p w:rsidR="00206B05" w:rsidRPr="00735DF0" w:rsidRDefault="00206B05" w:rsidP="005A35BA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06B05" w:rsidRPr="00735DF0" w:rsidRDefault="00206B05" w:rsidP="00206B05">
      <w:pPr>
        <w:spacing w:line="2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735DF0">
        <w:rPr>
          <w:rFonts w:ascii="Arial" w:hAnsi="Arial" w:cs="Arial"/>
          <w:color w:val="000000" w:themeColor="text1"/>
          <w:sz w:val="20"/>
          <w:szCs w:val="20"/>
        </w:rPr>
        <w:t xml:space="preserve">* Indicated strains were crossed into </w:t>
      </w:r>
      <w:r w:rsidRPr="00194AFB">
        <w:rPr>
          <w:rFonts w:ascii="Arial" w:hAnsi="Arial" w:cs="Arial"/>
          <w:i/>
          <w:color w:val="000000" w:themeColor="text1"/>
          <w:sz w:val="20"/>
          <w:szCs w:val="20"/>
        </w:rPr>
        <w:t>ufIs141</w:t>
      </w:r>
      <w:r w:rsidRPr="00735DF0">
        <w:rPr>
          <w:rFonts w:ascii="Arial" w:hAnsi="Arial" w:cs="Arial"/>
          <w:color w:val="000000" w:themeColor="text1"/>
          <w:sz w:val="20"/>
          <w:szCs w:val="20"/>
        </w:rPr>
        <w:t xml:space="preserve"> to generate strains to determine colocalization</w:t>
      </w:r>
    </w:p>
    <w:p w:rsidR="00206B05" w:rsidRDefault="00206B05" w:rsidP="00206B05">
      <w:pPr>
        <w:spacing w:line="240" w:lineRule="exact"/>
        <w:rPr>
          <w:rFonts w:ascii="Arial" w:hAnsi="Arial" w:cs="Arial"/>
          <w:color w:val="000000" w:themeColor="text1"/>
          <w:sz w:val="16"/>
          <w:szCs w:val="16"/>
        </w:rPr>
      </w:pPr>
      <w:r w:rsidRPr="00735DF0">
        <w:rPr>
          <w:rFonts w:ascii="Arial" w:hAnsi="Arial" w:cs="Arial"/>
          <w:color w:val="000000" w:themeColor="text1"/>
          <w:sz w:val="20"/>
          <w:szCs w:val="20"/>
        </w:rPr>
        <w:t xml:space="preserve"># + indicates </w:t>
      </w:r>
      <w:r w:rsidRPr="00194AFB">
        <w:rPr>
          <w:rFonts w:ascii="Arial" w:hAnsi="Arial" w:cs="Arial"/>
          <w:i/>
          <w:color w:val="000000" w:themeColor="text1"/>
          <w:sz w:val="20"/>
          <w:szCs w:val="20"/>
        </w:rPr>
        <w:t>ckr-1</w:t>
      </w:r>
      <w:r w:rsidRPr="00735DF0">
        <w:rPr>
          <w:rFonts w:ascii="Arial" w:hAnsi="Arial" w:cs="Arial"/>
          <w:color w:val="000000" w:themeColor="text1"/>
          <w:sz w:val="20"/>
          <w:szCs w:val="20"/>
        </w:rPr>
        <w:t xml:space="preserve"> expression, - indicates absence</w:t>
      </w:r>
      <w:r w:rsidRPr="00735DF0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F60AE9" w:rsidRDefault="00F60AE9" w:rsidP="00206B05">
      <w:pPr>
        <w:spacing w:line="240" w:lineRule="exact"/>
        <w:rPr>
          <w:rFonts w:ascii="Arial" w:hAnsi="Arial" w:cs="Arial"/>
          <w:color w:val="000000" w:themeColor="text1"/>
          <w:sz w:val="16"/>
          <w:szCs w:val="16"/>
        </w:rPr>
      </w:pPr>
    </w:p>
    <w:p w:rsidR="00190A94" w:rsidRDefault="00190A94" w:rsidP="00190A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60AE9" w:rsidRPr="00F60AE9" w:rsidRDefault="00F60AE9" w:rsidP="00190A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60AE9">
        <w:rPr>
          <w:rFonts w:ascii="Arial" w:hAnsi="Arial" w:cs="Arial"/>
          <w:b/>
          <w:color w:val="000000" w:themeColor="text1"/>
          <w:sz w:val="22"/>
          <w:szCs w:val="22"/>
        </w:rPr>
        <w:t xml:space="preserve">References </w:t>
      </w:r>
    </w:p>
    <w:sdt>
      <w:sdtPr>
        <w:rPr>
          <w:rFonts w:ascii="Arial" w:hAnsi="Arial" w:cs="Arial"/>
          <w:color w:val="000000" w:themeColor="text1"/>
          <w:sz w:val="22"/>
          <w:szCs w:val="22"/>
        </w:rPr>
        <w:alias w:val="SmartCite Bibliography"/>
        <w:tag w:val="eLife"/>
        <w:id w:val="-55787299"/>
        <w:placeholder>
          <w:docPart w:val="DefaultPlaceholder_-1854013440"/>
        </w:placeholder>
      </w:sdtPr>
      <w:sdtEndPr>
        <w:rPr>
          <w:b/>
        </w:rPr>
      </w:sdtEndPr>
      <w:sdtContent>
        <w:p w:rsidR="00B15DBF" w:rsidRPr="00B15DBF" w:rsidRDefault="00B15DBF">
          <w:pPr>
            <w:divId w:val="1669550684"/>
            <w:rPr>
              <w:rFonts w:ascii="Arial" w:eastAsia="Times New Roman" w:hAnsi="Arial" w:cs="Arial"/>
              <w:color w:val="000000"/>
              <w:sz w:val="22"/>
            </w:rPr>
          </w:pPr>
          <w:r w:rsidRPr="00B15DBF">
            <w:rPr>
              <w:rFonts w:ascii="Arial" w:eastAsia="Times New Roman" w:hAnsi="Arial" w:cs="Arial"/>
              <w:color w:val="000000"/>
              <w:sz w:val="22"/>
            </w:rPr>
            <w:br/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Alfonso A, Grundahl K, Duerr J, Han H, Rand J. 1993. The Caenorhabditis elegans unc-17 gene: a putative vesicular acetylcholine transporter.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Science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261</w:t>
          </w:r>
          <w:r w:rsidRPr="00B15DBF">
            <w:rPr>
              <w:rFonts w:ascii="Arial" w:hAnsi="Arial" w:cs="Arial"/>
              <w:color w:val="000000"/>
              <w:sz w:val="22"/>
            </w:rPr>
            <w:t>:617–619. doi:10.1126/science.8342028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Altun-Gultekin Z, Andachi Y, Tsalik EL, Pilgrim D, Kohara Y, Hobert O. 2001. A regulatory cascade of three homeobox genes, ceh-10, ttx-3 and ceh-23, controls cell fate specification of a defined interneuron class in C. elegans.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Dev Camb Engl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128</w:t>
          </w:r>
          <w:r w:rsidRPr="00B15DBF">
            <w:rPr>
              <w:rFonts w:ascii="Arial" w:hAnsi="Arial" w:cs="Arial"/>
              <w:color w:val="000000"/>
              <w:sz w:val="22"/>
            </w:rPr>
            <w:t>:1951–69.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Aurelio O, Boulin T, Hobert O. 2003. Identification of spatial and temporal cues that regulate postembryonic expression of axon maintenance factors in the C. elegans ventral nerve cord.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Development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130</w:t>
          </w:r>
          <w:r w:rsidRPr="00B15DBF">
            <w:rPr>
              <w:rFonts w:ascii="Arial" w:hAnsi="Arial" w:cs="Arial"/>
              <w:color w:val="000000"/>
              <w:sz w:val="22"/>
            </w:rPr>
            <w:t>:599–610. doi:10.1242/dev.00277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Chou JH, Bargmann CI, Sengupta P. 2001. The Caenorhabditis elegans odr-2 gene encodes a novel Ly-6-related protein required for olfaction.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Genetics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157</w:t>
          </w:r>
          <w:r w:rsidRPr="00B15DBF">
            <w:rPr>
              <w:rFonts w:ascii="Arial" w:hAnsi="Arial" w:cs="Arial"/>
              <w:color w:val="000000"/>
              <w:sz w:val="22"/>
            </w:rPr>
            <w:t>:211–24.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Cohen M, Reale V, Olofsson B, Knights A, Evans P, Bono M de. 2009. Coordinated Regulation of Foraging and Metabolism in C. elegans by RFamide Neuropeptide Signaling.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Cell Metab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9</w:t>
          </w:r>
          <w:r w:rsidRPr="00B15DBF">
            <w:rPr>
              <w:rFonts w:ascii="Arial" w:hAnsi="Arial" w:cs="Arial"/>
              <w:color w:val="000000"/>
              <w:sz w:val="22"/>
            </w:rPr>
            <w:t>:375–385. doi:10.1016/j.cmet.2009.02.003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Gürel G, Gustafson MA, Pepper JS, Horvitz HR, Koelle MR. 2012. Receptors and Other Signaling Proteins Required for Serotonin Control of Locomotion in Caenorhabditis elegans.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Genetics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192</w:t>
          </w:r>
          <w:r w:rsidRPr="00B15DBF">
            <w:rPr>
              <w:rFonts w:ascii="Arial" w:hAnsi="Arial" w:cs="Arial"/>
              <w:color w:val="000000"/>
              <w:sz w:val="22"/>
            </w:rPr>
            <w:t>:1359–1371. doi:10.1534/genetics.112.142125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Hobert O, Mori I, Yamashita Y, Honda H, Ohshima Y, Liu Y, Ruvkun G. 1997. Regulation of Interneuron Function in the C. elegans Thermoregulatory Pathway by the ttx-3 LIM Homeobox Gene.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Neuron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19</w:t>
          </w:r>
          <w:r w:rsidRPr="00B15DBF">
            <w:rPr>
              <w:rFonts w:ascii="Arial" w:hAnsi="Arial" w:cs="Arial"/>
              <w:color w:val="000000"/>
              <w:sz w:val="22"/>
            </w:rPr>
            <w:t>:345–357. doi:10.1016/s0896-6273(00)80944-7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McIntire SL, Reimer RJ, Schuske K, Edwards RH, Jorgensen EM. 1997. Identification and characterization of the vesicular GABA transporter.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Nature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389</w:t>
          </w:r>
          <w:r w:rsidRPr="00B15DBF">
            <w:rPr>
              <w:rFonts w:ascii="Arial" w:hAnsi="Arial" w:cs="Arial"/>
              <w:color w:val="000000"/>
              <w:sz w:val="22"/>
            </w:rPr>
            <w:t>:870–876. doi:10.1038/39908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Petrash HA, Philbrook A, Haburcak M, Barbagallo B, Francis MM. 2013. ACR-12 Ionotropic Acetylcholine Receptor Complexes Regulate Inhibitory Motor Neuron Activity in Caenorhabditis elegans.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J Neurosci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33</w:t>
          </w:r>
          <w:r w:rsidRPr="00B15DBF">
            <w:rPr>
              <w:rFonts w:ascii="Arial" w:hAnsi="Arial" w:cs="Arial"/>
              <w:color w:val="000000"/>
              <w:sz w:val="22"/>
            </w:rPr>
            <w:t>:5524–5532. doi:10.1523/jneurosci.4384-12.2013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Pirri JK, McPherson AD, Donnelly JL, Francis MM, Alkema MJ. 2009. A Tyramine-Gated Chloride Channel Coordinates Distinct Motor Programs of a Caenorhabditis elegans Escape Response.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Neuron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62</w:t>
          </w:r>
          <w:r w:rsidRPr="00B15DBF">
            <w:rPr>
              <w:rFonts w:ascii="Arial" w:hAnsi="Arial" w:cs="Arial"/>
              <w:color w:val="000000"/>
              <w:sz w:val="22"/>
            </w:rPr>
            <w:t>:526–538. doi:10.1016/j.neuron.2009.04.013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Sze JY, Victor M, Loer C, Shi Y, Ruvkun G. 2000. Food and metabolic signalling defects in a Caenorhabditis elegans serotonin-synthesis mutant.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Nature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403</w:t>
          </w:r>
          <w:r w:rsidRPr="00B15DBF">
            <w:rPr>
              <w:rFonts w:ascii="Arial" w:hAnsi="Arial" w:cs="Arial"/>
              <w:color w:val="000000"/>
              <w:sz w:val="22"/>
            </w:rPr>
            <w:t>:560–564. doi:10.1038/35000609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Wang X, Zhang W, Cheever T, Schwarz V, Opperman K, Hutter H, Koepp D, Chen L. 2008. The C. elegans L1CAM homologue LAD-2 functions as a coreceptor in MAB-20/Sema2 mediated axon guidance.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J Cell Biology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180</w:t>
          </w:r>
          <w:r w:rsidRPr="00B15DBF">
            <w:rPr>
              <w:rFonts w:ascii="Arial" w:hAnsi="Arial" w:cs="Arial"/>
              <w:color w:val="000000"/>
              <w:sz w:val="22"/>
            </w:rPr>
            <w:t>:233–46. doi:10.1083/jcb.200704178</w:t>
          </w:r>
        </w:p>
        <w:p w:rsidR="00B15DBF" w:rsidRPr="00B15DBF" w:rsidRDefault="00B15DBF">
          <w:pPr>
            <w:pStyle w:val="csl-entry"/>
            <w:ind w:left="300" w:hanging="300"/>
            <w:divId w:val="1669550684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hAnsi="Arial" w:cs="Arial"/>
              <w:color w:val="000000"/>
              <w:sz w:val="22"/>
            </w:rPr>
            <w:t xml:space="preserve">Yeon J, Kim Jinmahn, Kim D-Y, Kim H, Kim Jungha, Du EJ, Kang K, Lim H-H, Moon D, Kim K. 2018. A sensory-motor neuron type mediates proprioceptive coordination of steering in C. elegans via two TRPC channels. </w:t>
          </w:r>
          <w:r w:rsidRPr="00B15DBF">
            <w:rPr>
              <w:rFonts w:ascii="Arial" w:hAnsi="Arial" w:cs="Arial"/>
              <w:i/>
              <w:iCs/>
              <w:color w:val="000000"/>
              <w:sz w:val="22"/>
            </w:rPr>
            <w:t>Plos Biol</w:t>
          </w:r>
          <w:r w:rsidRPr="00B15DBF">
            <w:rPr>
              <w:rFonts w:ascii="Arial" w:hAnsi="Arial" w:cs="Arial"/>
              <w:color w:val="000000"/>
              <w:sz w:val="22"/>
            </w:rPr>
            <w:t xml:space="preserve"> </w:t>
          </w:r>
          <w:r w:rsidRPr="00B15DBF">
            <w:rPr>
              <w:rFonts w:ascii="Arial" w:hAnsi="Arial" w:cs="Arial"/>
              <w:bCs/>
              <w:color w:val="000000"/>
              <w:sz w:val="22"/>
            </w:rPr>
            <w:t>16</w:t>
          </w:r>
          <w:r w:rsidRPr="00B15DBF">
            <w:rPr>
              <w:rFonts w:ascii="Arial" w:hAnsi="Arial" w:cs="Arial"/>
              <w:color w:val="000000"/>
              <w:sz w:val="22"/>
            </w:rPr>
            <w:t>:e2004929. doi:10.1371/journal.pbio.2004929</w:t>
          </w:r>
        </w:p>
        <w:p w:rsidR="00206B05" w:rsidRPr="001853D4" w:rsidRDefault="00B15DBF" w:rsidP="001853D4">
          <w:pPr>
            <w:pStyle w:val="csl-entry"/>
            <w:ind w:left="300" w:hanging="300"/>
            <w:divId w:val="851188323"/>
            <w:rPr>
              <w:rFonts w:ascii="Arial" w:hAnsi="Arial" w:cs="Arial"/>
              <w:color w:val="000000"/>
              <w:sz w:val="22"/>
            </w:rPr>
          </w:pPr>
          <w:r w:rsidRPr="00B15DBF">
            <w:rPr>
              <w:rFonts w:ascii="Arial" w:eastAsia="Times New Roman" w:hAnsi="Arial" w:cs="Arial"/>
              <w:color w:val="000000"/>
              <w:sz w:val="22"/>
            </w:rPr>
            <w:t> </w:t>
          </w:r>
        </w:p>
      </w:sdtContent>
    </w:sdt>
    <w:sectPr w:rsidR="00206B05" w:rsidRPr="001853D4" w:rsidSect="006E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F2" w:rsidRDefault="008D44F2" w:rsidP="001853D4">
      <w:r>
        <w:separator/>
      </w:r>
    </w:p>
  </w:endnote>
  <w:endnote w:type="continuationSeparator" w:id="0">
    <w:p w:rsidR="008D44F2" w:rsidRDefault="008D44F2" w:rsidP="0018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F2" w:rsidRDefault="008D44F2" w:rsidP="001853D4">
      <w:r>
        <w:separator/>
      </w:r>
    </w:p>
  </w:footnote>
  <w:footnote w:type="continuationSeparator" w:id="0">
    <w:p w:rsidR="008D44F2" w:rsidRDefault="008D44F2" w:rsidP="0018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05"/>
    <w:rsid w:val="000006D4"/>
    <w:rsid w:val="00015551"/>
    <w:rsid w:val="000229DA"/>
    <w:rsid w:val="0004088F"/>
    <w:rsid w:val="000528F4"/>
    <w:rsid w:val="000556E3"/>
    <w:rsid w:val="0008218A"/>
    <w:rsid w:val="00082EC9"/>
    <w:rsid w:val="00084FCE"/>
    <w:rsid w:val="00086495"/>
    <w:rsid w:val="00086818"/>
    <w:rsid w:val="00095ADA"/>
    <w:rsid w:val="000A11A0"/>
    <w:rsid w:val="000A6B01"/>
    <w:rsid w:val="000B3B24"/>
    <w:rsid w:val="000B5AF4"/>
    <w:rsid w:val="000B67DC"/>
    <w:rsid w:val="000D6041"/>
    <w:rsid w:val="000E6A6D"/>
    <w:rsid w:val="000F09CD"/>
    <w:rsid w:val="000F0A65"/>
    <w:rsid w:val="00106762"/>
    <w:rsid w:val="001107DB"/>
    <w:rsid w:val="00132F6F"/>
    <w:rsid w:val="00134AE1"/>
    <w:rsid w:val="00136DE3"/>
    <w:rsid w:val="00140F26"/>
    <w:rsid w:val="00146282"/>
    <w:rsid w:val="0015170A"/>
    <w:rsid w:val="001661EF"/>
    <w:rsid w:val="00172B09"/>
    <w:rsid w:val="00176D22"/>
    <w:rsid w:val="00184D34"/>
    <w:rsid w:val="001853D4"/>
    <w:rsid w:val="00186A1E"/>
    <w:rsid w:val="00190A94"/>
    <w:rsid w:val="00191A4F"/>
    <w:rsid w:val="001974D4"/>
    <w:rsid w:val="001B29DE"/>
    <w:rsid w:val="001B4E7E"/>
    <w:rsid w:val="00203052"/>
    <w:rsid w:val="00206B05"/>
    <w:rsid w:val="00223C72"/>
    <w:rsid w:val="00226440"/>
    <w:rsid w:val="00231FC4"/>
    <w:rsid w:val="002322E5"/>
    <w:rsid w:val="00232969"/>
    <w:rsid w:val="00247B45"/>
    <w:rsid w:val="002542A0"/>
    <w:rsid w:val="002628E4"/>
    <w:rsid w:val="002649A8"/>
    <w:rsid w:val="00266F6E"/>
    <w:rsid w:val="00271A2F"/>
    <w:rsid w:val="00277BD6"/>
    <w:rsid w:val="00280C3C"/>
    <w:rsid w:val="002812F1"/>
    <w:rsid w:val="00281D84"/>
    <w:rsid w:val="00285D09"/>
    <w:rsid w:val="002A029D"/>
    <w:rsid w:val="002A46DF"/>
    <w:rsid w:val="002B52F4"/>
    <w:rsid w:val="002C1DE2"/>
    <w:rsid w:val="002C51CC"/>
    <w:rsid w:val="002D2709"/>
    <w:rsid w:val="002D7CAE"/>
    <w:rsid w:val="00307459"/>
    <w:rsid w:val="00322947"/>
    <w:rsid w:val="00331F88"/>
    <w:rsid w:val="00332AD3"/>
    <w:rsid w:val="00332C5C"/>
    <w:rsid w:val="003406E7"/>
    <w:rsid w:val="00347E85"/>
    <w:rsid w:val="00361ED6"/>
    <w:rsid w:val="003765DB"/>
    <w:rsid w:val="00380231"/>
    <w:rsid w:val="00385E7D"/>
    <w:rsid w:val="00392B3C"/>
    <w:rsid w:val="003A1FA0"/>
    <w:rsid w:val="003A5E35"/>
    <w:rsid w:val="003D049A"/>
    <w:rsid w:val="003D0CBA"/>
    <w:rsid w:val="003D58CB"/>
    <w:rsid w:val="003E794F"/>
    <w:rsid w:val="003F6D6E"/>
    <w:rsid w:val="004149B6"/>
    <w:rsid w:val="00416A11"/>
    <w:rsid w:val="00416DFB"/>
    <w:rsid w:val="0042330E"/>
    <w:rsid w:val="00436588"/>
    <w:rsid w:val="004465A7"/>
    <w:rsid w:val="00451EB4"/>
    <w:rsid w:val="00453EA5"/>
    <w:rsid w:val="00454C04"/>
    <w:rsid w:val="004601B2"/>
    <w:rsid w:val="00460FDC"/>
    <w:rsid w:val="004641E5"/>
    <w:rsid w:val="00466154"/>
    <w:rsid w:val="00480585"/>
    <w:rsid w:val="004A389B"/>
    <w:rsid w:val="004B16BF"/>
    <w:rsid w:val="004B58C9"/>
    <w:rsid w:val="004B7885"/>
    <w:rsid w:val="004C25AD"/>
    <w:rsid w:val="004D52C8"/>
    <w:rsid w:val="004D7E49"/>
    <w:rsid w:val="004E5B1D"/>
    <w:rsid w:val="004F4186"/>
    <w:rsid w:val="004F737A"/>
    <w:rsid w:val="00504478"/>
    <w:rsid w:val="0050507F"/>
    <w:rsid w:val="00507747"/>
    <w:rsid w:val="00513616"/>
    <w:rsid w:val="00526642"/>
    <w:rsid w:val="0053499E"/>
    <w:rsid w:val="005503D0"/>
    <w:rsid w:val="00556FAD"/>
    <w:rsid w:val="00562047"/>
    <w:rsid w:val="005662B9"/>
    <w:rsid w:val="005753F3"/>
    <w:rsid w:val="005A0CEA"/>
    <w:rsid w:val="005C16C0"/>
    <w:rsid w:val="005C3E49"/>
    <w:rsid w:val="005E2BB2"/>
    <w:rsid w:val="005F2F09"/>
    <w:rsid w:val="005F72E1"/>
    <w:rsid w:val="00605CF9"/>
    <w:rsid w:val="00606856"/>
    <w:rsid w:val="00607CBF"/>
    <w:rsid w:val="00613334"/>
    <w:rsid w:val="006158C6"/>
    <w:rsid w:val="00626933"/>
    <w:rsid w:val="00627345"/>
    <w:rsid w:val="00643E99"/>
    <w:rsid w:val="006620F5"/>
    <w:rsid w:val="00664D15"/>
    <w:rsid w:val="00696996"/>
    <w:rsid w:val="00696EF9"/>
    <w:rsid w:val="006A41F8"/>
    <w:rsid w:val="006A57FC"/>
    <w:rsid w:val="006D18AE"/>
    <w:rsid w:val="006D557D"/>
    <w:rsid w:val="006E121F"/>
    <w:rsid w:val="006E1A36"/>
    <w:rsid w:val="006E285A"/>
    <w:rsid w:val="006E5397"/>
    <w:rsid w:val="006F6446"/>
    <w:rsid w:val="00711BE0"/>
    <w:rsid w:val="00725C11"/>
    <w:rsid w:val="00727CD3"/>
    <w:rsid w:val="007360C2"/>
    <w:rsid w:val="00736BF2"/>
    <w:rsid w:val="00746259"/>
    <w:rsid w:val="0075192C"/>
    <w:rsid w:val="00751C0A"/>
    <w:rsid w:val="0075248B"/>
    <w:rsid w:val="007540A4"/>
    <w:rsid w:val="0075593D"/>
    <w:rsid w:val="007914EF"/>
    <w:rsid w:val="0079523B"/>
    <w:rsid w:val="007A21A5"/>
    <w:rsid w:val="007A3E35"/>
    <w:rsid w:val="007A4390"/>
    <w:rsid w:val="007A7CE1"/>
    <w:rsid w:val="007B1B17"/>
    <w:rsid w:val="007C06F7"/>
    <w:rsid w:val="007D19FB"/>
    <w:rsid w:val="007D1E4D"/>
    <w:rsid w:val="007F2F67"/>
    <w:rsid w:val="007F539C"/>
    <w:rsid w:val="007F7384"/>
    <w:rsid w:val="0080268E"/>
    <w:rsid w:val="0081101B"/>
    <w:rsid w:val="00811260"/>
    <w:rsid w:val="00827BCC"/>
    <w:rsid w:val="0083181E"/>
    <w:rsid w:val="00835493"/>
    <w:rsid w:val="00860227"/>
    <w:rsid w:val="008626DA"/>
    <w:rsid w:val="00862A1F"/>
    <w:rsid w:val="00882407"/>
    <w:rsid w:val="008929B5"/>
    <w:rsid w:val="00895E6E"/>
    <w:rsid w:val="008A4BB6"/>
    <w:rsid w:val="008A5BDD"/>
    <w:rsid w:val="008B05FF"/>
    <w:rsid w:val="008D44F2"/>
    <w:rsid w:val="008E3770"/>
    <w:rsid w:val="008E4573"/>
    <w:rsid w:val="008F15F4"/>
    <w:rsid w:val="009150DD"/>
    <w:rsid w:val="00921147"/>
    <w:rsid w:val="00933B15"/>
    <w:rsid w:val="00952D6F"/>
    <w:rsid w:val="009536FB"/>
    <w:rsid w:val="00956171"/>
    <w:rsid w:val="009627BD"/>
    <w:rsid w:val="0097202B"/>
    <w:rsid w:val="0098139A"/>
    <w:rsid w:val="00987AA5"/>
    <w:rsid w:val="009905BE"/>
    <w:rsid w:val="009A48B9"/>
    <w:rsid w:val="009A510D"/>
    <w:rsid w:val="009A68FC"/>
    <w:rsid w:val="009C0A5E"/>
    <w:rsid w:val="009C3926"/>
    <w:rsid w:val="009D63F7"/>
    <w:rsid w:val="009E7835"/>
    <w:rsid w:val="009E7BEC"/>
    <w:rsid w:val="009F570B"/>
    <w:rsid w:val="00A07ED1"/>
    <w:rsid w:val="00A16BFA"/>
    <w:rsid w:val="00A25886"/>
    <w:rsid w:val="00A2608E"/>
    <w:rsid w:val="00A263A3"/>
    <w:rsid w:val="00A30C99"/>
    <w:rsid w:val="00A43EEF"/>
    <w:rsid w:val="00A44697"/>
    <w:rsid w:val="00A45CBB"/>
    <w:rsid w:val="00A45F71"/>
    <w:rsid w:val="00A50536"/>
    <w:rsid w:val="00A62614"/>
    <w:rsid w:val="00A63CBA"/>
    <w:rsid w:val="00A76B8C"/>
    <w:rsid w:val="00A81155"/>
    <w:rsid w:val="00A81ADC"/>
    <w:rsid w:val="00A836FD"/>
    <w:rsid w:val="00A86AC9"/>
    <w:rsid w:val="00A9494E"/>
    <w:rsid w:val="00AC3EF2"/>
    <w:rsid w:val="00AC5F1C"/>
    <w:rsid w:val="00AC5FC2"/>
    <w:rsid w:val="00AD01AC"/>
    <w:rsid w:val="00AE2CAE"/>
    <w:rsid w:val="00AE3E54"/>
    <w:rsid w:val="00AE7047"/>
    <w:rsid w:val="00B124B6"/>
    <w:rsid w:val="00B15DBF"/>
    <w:rsid w:val="00B164A6"/>
    <w:rsid w:val="00B20FB2"/>
    <w:rsid w:val="00B25EBD"/>
    <w:rsid w:val="00B27CEA"/>
    <w:rsid w:val="00B32415"/>
    <w:rsid w:val="00B43EFB"/>
    <w:rsid w:val="00B64434"/>
    <w:rsid w:val="00B67610"/>
    <w:rsid w:val="00BA5810"/>
    <w:rsid w:val="00BB04D6"/>
    <w:rsid w:val="00BB0C59"/>
    <w:rsid w:val="00BB3B16"/>
    <w:rsid w:val="00BD1D8B"/>
    <w:rsid w:val="00BD1E29"/>
    <w:rsid w:val="00BD23C3"/>
    <w:rsid w:val="00BD4819"/>
    <w:rsid w:val="00BE0CFA"/>
    <w:rsid w:val="00BE3224"/>
    <w:rsid w:val="00BE5C77"/>
    <w:rsid w:val="00C035E5"/>
    <w:rsid w:val="00C04DE8"/>
    <w:rsid w:val="00C17776"/>
    <w:rsid w:val="00C328DF"/>
    <w:rsid w:val="00C33961"/>
    <w:rsid w:val="00C35145"/>
    <w:rsid w:val="00C375EA"/>
    <w:rsid w:val="00C46D5B"/>
    <w:rsid w:val="00C5136F"/>
    <w:rsid w:val="00C551ED"/>
    <w:rsid w:val="00C5695B"/>
    <w:rsid w:val="00C64A59"/>
    <w:rsid w:val="00C75060"/>
    <w:rsid w:val="00C76419"/>
    <w:rsid w:val="00CA1C83"/>
    <w:rsid w:val="00CB1B17"/>
    <w:rsid w:val="00CC044A"/>
    <w:rsid w:val="00CE132A"/>
    <w:rsid w:val="00CF3CF5"/>
    <w:rsid w:val="00D00D0F"/>
    <w:rsid w:val="00D0191D"/>
    <w:rsid w:val="00D02B7D"/>
    <w:rsid w:val="00D117B9"/>
    <w:rsid w:val="00D1457F"/>
    <w:rsid w:val="00D16E98"/>
    <w:rsid w:val="00D21749"/>
    <w:rsid w:val="00D24BA8"/>
    <w:rsid w:val="00D24F53"/>
    <w:rsid w:val="00D32F7F"/>
    <w:rsid w:val="00D46852"/>
    <w:rsid w:val="00D52533"/>
    <w:rsid w:val="00D64A64"/>
    <w:rsid w:val="00D743C9"/>
    <w:rsid w:val="00D75D11"/>
    <w:rsid w:val="00D77D86"/>
    <w:rsid w:val="00D81609"/>
    <w:rsid w:val="00D81FD3"/>
    <w:rsid w:val="00D83BDF"/>
    <w:rsid w:val="00D85C06"/>
    <w:rsid w:val="00DA007B"/>
    <w:rsid w:val="00DA3AEA"/>
    <w:rsid w:val="00DB5B48"/>
    <w:rsid w:val="00DC1C73"/>
    <w:rsid w:val="00DE5983"/>
    <w:rsid w:val="00DF2865"/>
    <w:rsid w:val="00DF31B6"/>
    <w:rsid w:val="00E025AF"/>
    <w:rsid w:val="00E030CF"/>
    <w:rsid w:val="00E0333E"/>
    <w:rsid w:val="00E0575C"/>
    <w:rsid w:val="00E1127F"/>
    <w:rsid w:val="00E13C90"/>
    <w:rsid w:val="00E275CF"/>
    <w:rsid w:val="00E43AE6"/>
    <w:rsid w:val="00E44EF8"/>
    <w:rsid w:val="00E53A98"/>
    <w:rsid w:val="00E53BE5"/>
    <w:rsid w:val="00EC0950"/>
    <w:rsid w:val="00EC7D1B"/>
    <w:rsid w:val="00EC7FA8"/>
    <w:rsid w:val="00F00D66"/>
    <w:rsid w:val="00F26447"/>
    <w:rsid w:val="00F31991"/>
    <w:rsid w:val="00F33BB3"/>
    <w:rsid w:val="00F34748"/>
    <w:rsid w:val="00F34E44"/>
    <w:rsid w:val="00F40136"/>
    <w:rsid w:val="00F46806"/>
    <w:rsid w:val="00F47A89"/>
    <w:rsid w:val="00F55FEA"/>
    <w:rsid w:val="00F60AE9"/>
    <w:rsid w:val="00F63C9C"/>
    <w:rsid w:val="00F63ECC"/>
    <w:rsid w:val="00F7159B"/>
    <w:rsid w:val="00F73A16"/>
    <w:rsid w:val="00F73C0A"/>
    <w:rsid w:val="00F757B2"/>
    <w:rsid w:val="00F8376B"/>
    <w:rsid w:val="00FB5D0F"/>
    <w:rsid w:val="00FE041B"/>
    <w:rsid w:val="00FF0A3F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C511688-026B-5642-9BD0-6DDB29F6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B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F67"/>
    <w:rPr>
      <w:color w:val="808080"/>
    </w:rPr>
  </w:style>
  <w:style w:type="paragraph" w:customStyle="1" w:styleId="csl-entry">
    <w:name w:val="csl-entry"/>
    <w:basedOn w:val="Normal"/>
    <w:rsid w:val="007F2F67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85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3D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3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9CFF1242CB8F4A8751CB09E1648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B7BDE-86BD-054C-8252-5AF8189883DF}"/>
      </w:docPartPr>
      <w:docPartBody>
        <w:p w:rsidR="005F5546" w:rsidRDefault="00EB00C0" w:rsidP="00EB00C0">
          <w:pPr>
            <w:pStyle w:val="A69CFF1242CB8F4A8751CB09E1648859"/>
          </w:pPr>
          <w:r w:rsidRPr="008E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04739766C724EA96D906EA7BA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BF083-D11E-804E-8014-75E369BDEA91}"/>
      </w:docPartPr>
      <w:docPartBody>
        <w:p w:rsidR="005F5546" w:rsidRDefault="00EB00C0" w:rsidP="00EB00C0">
          <w:pPr>
            <w:pStyle w:val="57604739766C724EA96D906EA7BA1AA6"/>
          </w:pPr>
          <w:r w:rsidRPr="008E67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88281-557E-C941-8330-0C591B87ED00}"/>
      </w:docPartPr>
      <w:docPartBody>
        <w:p w:rsidR="00B227C7" w:rsidRDefault="005F5546">
          <w:r w:rsidRPr="00DC2B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C0"/>
    <w:rsid w:val="00092843"/>
    <w:rsid w:val="00120A49"/>
    <w:rsid w:val="005756BA"/>
    <w:rsid w:val="005F5546"/>
    <w:rsid w:val="00B227C7"/>
    <w:rsid w:val="00C7305B"/>
    <w:rsid w:val="00D34510"/>
    <w:rsid w:val="00DF5026"/>
    <w:rsid w:val="00E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546"/>
    <w:rPr>
      <w:color w:val="808080"/>
    </w:rPr>
  </w:style>
  <w:style w:type="paragraph" w:customStyle="1" w:styleId="A69CFF1242CB8F4A8751CB09E1648859">
    <w:name w:val="A69CFF1242CB8F4A8751CB09E1648859"/>
    <w:rsid w:val="00EB00C0"/>
  </w:style>
  <w:style w:type="paragraph" w:customStyle="1" w:styleId="57604739766C724EA96D906EA7BA1AA6">
    <w:name w:val="57604739766C724EA96D906EA7BA1AA6"/>
    <w:rsid w:val="00EB00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D56493-894C-4A4C-947E-5ED5370048A4}">
  <we:reference id="wa104380917" version="1.0.1.0" store="en-US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E60050-42E2-6548-89D2-555FC260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Ramachandran, Shankar</dc:creator>
  <cp:keywords/>
  <dc:description/>
  <cp:lastModifiedBy>Ramachandran, Shankar</cp:lastModifiedBy>
  <cp:revision>18</cp:revision>
  <dcterms:created xsi:type="dcterms:W3CDTF">2021-11-02T17:26:00Z</dcterms:created>
  <dcterms:modified xsi:type="dcterms:W3CDTF">2021-11-03T08:24:00Z</dcterms:modified>
</cp:coreProperties>
</file>