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37E32B5" w14:textId="77777777" w:rsidR="0024651C" w:rsidRPr="00772737" w:rsidRDefault="0024651C" w:rsidP="002465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</w:pP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No specific power analysis was used. </w:t>
      </w:r>
      <w:r w:rsidRPr="00B50C3F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Sample sizes were chosen based on our experience with similar experiments (a minimum of </w:t>
      </w:r>
      <w:r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4</w:t>
      </w:r>
      <w:r w:rsidRPr="00B50C3F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–6 mice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) and based on the availability of age-matched mice</w:t>
      </w:r>
      <w:r w:rsidRPr="00B50C3F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. </w:t>
      </w:r>
    </w:p>
    <w:p w14:paraId="283305D7" w14:textId="77777777" w:rsidR="00877644" w:rsidRPr="0024651C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SG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3C68C7" w14:textId="77777777" w:rsidR="0024651C" w:rsidRPr="00772737" w:rsidRDefault="0024651C" w:rsidP="002465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</w:pP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Each flow cytometry sample was obtained from one individual mouse  or from pooled cells obtained from 2-3 distinct mice of the same mouse strain, in case the cell number was insufficient for a comprehensive flow cytometry a</w:t>
      </w:r>
      <w:r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nalysis.</w:t>
      </w:r>
    </w:p>
    <w:p w14:paraId="78102952" w14:textId="77777777" w:rsidR="00B330BD" w:rsidRPr="0024651C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SG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3D2CBE" w:rsidR="0015519A" w:rsidRPr="0024651C" w:rsidRDefault="0024651C" w:rsidP="0024651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0"/>
          <w:szCs w:val="20"/>
        </w:rPr>
      </w:pPr>
      <w:r w:rsidRPr="00772737">
        <w:rPr>
          <w:rFonts w:ascii="Arial" w:hAnsi="Arial" w:cs="Arial"/>
          <w:color w:val="0070C0"/>
          <w:sz w:val="20"/>
          <w:szCs w:val="20"/>
        </w:rPr>
        <w:t xml:space="preserve">All statistical tests are fully described in detail in the Figure Legends. Samples were analyzed by two-tailed Student's </w:t>
      </w:r>
      <w:r w:rsidRPr="00772737">
        <w:rPr>
          <w:rFonts w:ascii="Arial" w:hAnsi="Arial" w:cs="Arial"/>
          <w:i/>
          <w:color w:val="0070C0"/>
          <w:sz w:val="20"/>
          <w:szCs w:val="20"/>
        </w:rPr>
        <w:t>t</w:t>
      </w:r>
      <w:r w:rsidRPr="00772737">
        <w:rPr>
          <w:rFonts w:ascii="Arial" w:hAnsi="Arial" w:cs="Arial"/>
          <w:color w:val="0070C0"/>
          <w:sz w:val="20"/>
          <w:szCs w:val="20"/>
        </w:rPr>
        <w:t xml:space="preserve">-test to determine statistical differences between two groups. A two-way ANOVA </w:t>
      </w:r>
      <w:bookmarkStart w:id="0" w:name="_GoBack"/>
      <w:bookmarkEnd w:id="0"/>
      <w:r w:rsidRPr="00772737">
        <w:rPr>
          <w:rFonts w:ascii="Arial" w:hAnsi="Arial" w:cs="Arial"/>
          <w:color w:val="0070C0"/>
          <w:sz w:val="20"/>
          <w:szCs w:val="20"/>
        </w:rPr>
        <w:t xml:space="preserve">was used to determine the differences between more than two groups. A P value &lt;0.05 was considered to be statistically significant. </w:t>
      </w:r>
      <w:r w:rsidRPr="00772737">
        <w:rPr>
          <w:rFonts w:ascii="Arial" w:hAnsi="Arial" w:cs="Arial"/>
          <w:color w:val="0070C0"/>
          <w:sz w:val="20"/>
          <w:szCs w:val="20"/>
          <w:shd w:val="clear" w:color="auto" w:fill="FFFFFF"/>
        </w:rPr>
        <w:t>The number of animals used per group is indicated in the Figure Legends as ‘‘n.’’</w:t>
      </w:r>
      <w:r w:rsidRPr="00772737">
        <w:rPr>
          <w:rFonts w:ascii="Helvetica" w:hAnsi="Helvetica"/>
          <w:color w:val="0070C0"/>
          <w:sz w:val="20"/>
          <w:szCs w:val="20"/>
          <w:shd w:val="clear" w:color="auto" w:fill="FFFFFF"/>
        </w:rPr>
        <w:t> 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BB4A96" w14:textId="77777777" w:rsidR="0024651C" w:rsidRPr="00333396" w:rsidRDefault="0024651C" w:rsidP="0024651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70C0"/>
          <w:sz w:val="22"/>
          <w:szCs w:val="22"/>
        </w:rPr>
      </w:pPr>
      <w:r w:rsidRPr="00333396">
        <w:rPr>
          <w:rFonts w:asciiTheme="minorHAnsi" w:hAnsiTheme="minorHAnsi"/>
          <w:color w:val="0070C0"/>
          <w:sz w:val="22"/>
          <w:szCs w:val="22"/>
        </w:rPr>
        <w:t>Not applicable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38C8234" w14:textId="72170E9F" w:rsidR="0024651C" w:rsidRPr="0024651C" w:rsidRDefault="0024651C" w:rsidP="0024651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70C0"/>
        </w:rPr>
      </w:pPr>
      <w:r w:rsidRPr="0024651C">
        <w:rPr>
          <w:rFonts w:ascii="Arial" w:hAnsi="Arial" w:cs="Arial"/>
          <w:color w:val="0070C0"/>
        </w:rPr>
        <w:t>The original flow cytometry data have been deposited in the NTU Open Access Data Repository (DR-NTU).</w:t>
      </w:r>
      <w:r>
        <w:rPr>
          <w:rFonts w:ascii="Arial" w:hAnsi="Arial" w:cs="Arial"/>
          <w:color w:val="0070C0"/>
        </w:rPr>
        <w:t xml:space="preserve"> Each figure has a Source data file linked.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B21A6" w14:textId="77777777" w:rsidR="00EC1E27" w:rsidRDefault="00EC1E27" w:rsidP="004215FE">
      <w:r>
        <w:separator/>
      </w:r>
    </w:p>
  </w:endnote>
  <w:endnote w:type="continuationSeparator" w:id="0">
    <w:p w14:paraId="73F562EB" w14:textId="77777777" w:rsidR="00EC1E27" w:rsidRDefault="00EC1E2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2606C" w14:textId="77777777" w:rsidR="00EC1E27" w:rsidRDefault="00EC1E27" w:rsidP="004215FE">
      <w:r>
        <w:separator/>
      </w:r>
    </w:p>
  </w:footnote>
  <w:footnote w:type="continuationSeparator" w:id="0">
    <w:p w14:paraId="16CD984D" w14:textId="77777777" w:rsidR="00EC1E27" w:rsidRDefault="00EC1E2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676B"/>
    <w:rsid w:val="001E1D59"/>
    <w:rsid w:val="00212F30"/>
    <w:rsid w:val="00217B9E"/>
    <w:rsid w:val="002336C6"/>
    <w:rsid w:val="00241081"/>
    <w:rsid w:val="0024651C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28D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58D7"/>
    <w:rsid w:val="00EC1E2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E018F09-BC56-0C41-A9CD-C21A22C6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EBEA10-1D1E-D543-85A9-0D2B226B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Ruedl Christiane (Prof)</cp:lastModifiedBy>
  <cp:revision>3</cp:revision>
  <dcterms:created xsi:type="dcterms:W3CDTF">2021-07-05T23:43:00Z</dcterms:created>
  <dcterms:modified xsi:type="dcterms:W3CDTF">2021-09-24T09:50:00Z</dcterms:modified>
</cp:coreProperties>
</file>