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488" w:rsidRDefault="00814488" w:rsidP="004B7B79">
      <w:pPr>
        <w:spacing w:after="0"/>
        <w:rPr>
          <w:b/>
        </w:rPr>
      </w:pPr>
      <w:r>
        <w:rPr>
          <w:b/>
        </w:rPr>
        <w:t>Figure 5-source data 1</w:t>
      </w:r>
      <w:r w:rsidR="004B7B79">
        <w:rPr>
          <w:b/>
        </w:rPr>
        <w:t xml:space="preserve">: </w:t>
      </w:r>
      <w:r>
        <w:rPr>
          <w:b/>
        </w:rPr>
        <w:t xml:space="preserve">Complete statistical information for the experiments reported in Figure 5 </w:t>
      </w:r>
    </w:p>
    <w:p w:rsidR="004B7B79" w:rsidRDefault="004B7B79" w:rsidP="004B7B79">
      <w:pPr>
        <w:spacing w:after="120"/>
        <w:rPr>
          <w:b/>
        </w:rPr>
      </w:pPr>
    </w:p>
    <w:p w:rsidR="00343691" w:rsidRDefault="00084CFC" w:rsidP="00343691">
      <w:pPr>
        <w:spacing w:after="120"/>
        <w:rPr>
          <w:b/>
        </w:rPr>
      </w:pPr>
      <w:bookmarkStart w:id="0" w:name="_GoBack"/>
      <w:bookmarkEnd w:id="0"/>
      <w:r>
        <w:rPr>
          <w:b/>
        </w:rPr>
        <w:t xml:space="preserve">Figure </w:t>
      </w:r>
      <w:r w:rsidR="00343691" w:rsidRPr="00E358F9">
        <w:rPr>
          <w:b/>
        </w:rPr>
        <w:t xml:space="preserve">5A: Axis extension angle in mib1 wnt5b double </w:t>
      </w:r>
      <w:proofErr w:type="spellStart"/>
      <w:r w:rsidR="00343691" w:rsidRPr="00E358F9">
        <w:rPr>
          <w:b/>
        </w:rPr>
        <w:t>morphants</w:t>
      </w:r>
      <w:proofErr w:type="spellEnd"/>
      <w:r w:rsidR="00343691"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5"/>
        <w:gridCol w:w="1170"/>
        <w:gridCol w:w="2520"/>
        <w:gridCol w:w="2250"/>
      </w:tblGrid>
      <w:tr w:rsidR="00343691" w:rsidRPr="00D1394D" w:rsidTr="00357D2E">
        <w:tc>
          <w:tcPr>
            <w:tcW w:w="2875" w:type="dxa"/>
          </w:tcPr>
          <w:p w:rsidR="00343691" w:rsidRPr="00D1394D" w:rsidRDefault="00343691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343691" w:rsidRPr="00D1394D" w:rsidRDefault="00343691" w:rsidP="00357D2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Mean value</w:t>
            </w:r>
          </w:p>
        </w:tc>
        <w:tc>
          <w:tcPr>
            <w:tcW w:w="2520" w:type="dxa"/>
          </w:tcPr>
          <w:p w:rsidR="00343691" w:rsidRPr="00D1394D" w:rsidRDefault="00343691" w:rsidP="00357D2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2250" w:type="dxa"/>
          </w:tcPr>
          <w:p w:rsidR="00343691" w:rsidRPr="00D1394D" w:rsidRDefault="00343691" w:rsidP="00357D2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343691" w:rsidRPr="00D1394D" w:rsidTr="00357D2E">
        <w:tc>
          <w:tcPr>
            <w:tcW w:w="2875" w:type="dxa"/>
          </w:tcPr>
          <w:p w:rsidR="00343691" w:rsidRPr="008B4267" w:rsidRDefault="00343691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170" w:type="dxa"/>
          </w:tcPr>
          <w:p w:rsidR="00343691" w:rsidRPr="002A1A5F" w:rsidRDefault="00530216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201.1</w:t>
            </w:r>
          </w:p>
        </w:tc>
        <w:tc>
          <w:tcPr>
            <w:tcW w:w="2520" w:type="dxa"/>
          </w:tcPr>
          <w:p w:rsidR="00343691" w:rsidRPr="002A1A5F" w:rsidRDefault="00530216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2250" w:type="dxa"/>
          </w:tcPr>
          <w:p w:rsidR="00343691" w:rsidRPr="002A1A5F" w:rsidRDefault="00530216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343691" w:rsidRPr="00D1394D" w:rsidTr="00357D2E">
        <w:tc>
          <w:tcPr>
            <w:tcW w:w="2875" w:type="dxa"/>
          </w:tcPr>
          <w:p w:rsidR="00343691" w:rsidRPr="008B4267" w:rsidRDefault="00343691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170" w:type="dxa"/>
          </w:tcPr>
          <w:p w:rsidR="00343691" w:rsidRPr="002A1A5F" w:rsidRDefault="00530216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194.1</w:t>
            </w:r>
          </w:p>
        </w:tc>
        <w:tc>
          <w:tcPr>
            <w:tcW w:w="2520" w:type="dxa"/>
          </w:tcPr>
          <w:p w:rsidR="00343691" w:rsidRPr="002A1A5F" w:rsidRDefault="00530216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</w:t>
            </w:r>
          </w:p>
        </w:tc>
        <w:tc>
          <w:tcPr>
            <w:tcW w:w="2250" w:type="dxa"/>
          </w:tcPr>
          <w:p w:rsidR="00343691" w:rsidRPr="002A1A5F" w:rsidRDefault="00530216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343691" w:rsidRPr="00D1394D" w:rsidTr="00357D2E">
        <w:tc>
          <w:tcPr>
            <w:tcW w:w="2875" w:type="dxa"/>
          </w:tcPr>
          <w:p w:rsidR="00343691" w:rsidRPr="008B4267" w:rsidRDefault="00343691" w:rsidP="00343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 wnt5b</w:t>
            </w:r>
          </w:p>
        </w:tc>
        <w:tc>
          <w:tcPr>
            <w:tcW w:w="1170" w:type="dxa"/>
          </w:tcPr>
          <w:p w:rsidR="00343691" w:rsidRDefault="00530216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199.6</w:t>
            </w:r>
          </w:p>
        </w:tc>
        <w:tc>
          <w:tcPr>
            <w:tcW w:w="2520" w:type="dxa"/>
          </w:tcPr>
          <w:p w:rsidR="00343691" w:rsidRDefault="00530216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2250" w:type="dxa"/>
          </w:tcPr>
          <w:p w:rsidR="00343691" w:rsidRDefault="00530216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343691" w:rsidRPr="00D1394D" w:rsidTr="00357D2E">
        <w:tc>
          <w:tcPr>
            <w:tcW w:w="2875" w:type="dxa"/>
          </w:tcPr>
          <w:p w:rsidR="00343691" w:rsidRPr="008B4267" w:rsidRDefault="00343691" w:rsidP="00343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 mib1 + MO wnt5b</w:t>
            </w:r>
          </w:p>
        </w:tc>
        <w:tc>
          <w:tcPr>
            <w:tcW w:w="1170" w:type="dxa"/>
          </w:tcPr>
          <w:p w:rsidR="00343691" w:rsidRPr="002A1A5F" w:rsidRDefault="00530216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188.0</w:t>
            </w:r>
          </w:p>
        </w:tc>
        <w:tc>
          <w:tcPr>
            <w:tcW w:w="2520" w:type="dxa"/>
          </w:tcPr>
          <w:p w:rsidR="00343691" w:rsidRPr="002A1A5F" w:rsidRDefault="00530216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2250" w:type="dxa"/>
          </w:tcPr>
          <w:p w:rsidR="00343691" w:rsidRPr="002A1A5F" w:rsidRDefault="00530216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343691" w:rsidRPr="00D1394D" w:rsidTr="00357D2E">
        <w:tc>
          <w:tcPr>
            <w:tcW w:w="8815" w:type="dxa"/>
            <w:gridSpan w:val="4"/>
          </w:tcPr>
          <w:p w:rsidR="00343691" w:rsidRPr="00A543B0" w:rsidRDefault="00343691" w:rsidP="00357D2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43691" w:rsidRPr="00D1394D" w:rsidTr="00357D2E">
        <w:tc>
          <w:tcPr>
            <w:tcW w:w="8815" w:type="dxa"/>
            <w:gridSpan w:val="4"/>
          </w:tcPr>
          <w:p w:rsidR="00343691" w:rsidRPr="00A543B0" w:rsidRDefault="00343691" w:rsidP="00357D2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43B0">
              <w:rPr>
                <w:rFonts w:ascii="Arial" w:hAnsi="Arial" w:cs="Arial"/>
                <w:i/>
                <w:sz w:val="18"/>
                <w:szCs w:val="18"/>
              </w:rPr>
              <w:t xml:space="preserve">Test statistics for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One way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Anova</w:t>
            </w:r>
            <w:proofErr w:type="spellEnd"/>
          </w:p>
        </w:tc>
      </w:tr>
      <w:tr w:rsidR="00343691" w:rsidRPr="00D1394D" w:rsidTr="00357D2E">
        <w:tc>
          <w:tcPr>
            <w:tcW w:w="2875" w:type="dxa"/>
          </w:tcPr>
          <w:p w:rsidR="00343691" w:rsidRPr="0073432A" w:rsidRDefault="00343691" w:rsidP="00343691">
            <w:pPr>
              <w:rPr>
                <w:rFonts w:ascii="Arial" w:hAnsi="Arial" w:cs="Arial"/>
                <w:sz w:val="18"/>
                <w:szCs w:val="18"/>
              </w:rPr>
            </w:pPr>
            <w:r w:rsidRPr="0073432A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530216">
              <w:rPr>
                <w:rFonts w:ascii="Arial" w:hAnsi="Arial" w:cs="Arial"/>
                <w:sz w:val="18"/>
                <w:szCs w:val="18"/>
              </w:rPr>
              <w:t>42.7</w:t>
            </w:r>
          </w:p>
        </w:tc>
        <w:tc>
          <w:tcPr>
            <w:tcW w:w="1170" w:type="dxa"/>
          </w:tcPr>
          <w:p w:rsidR="00343691" w:rsidRPr="0073432A" w:rsidRDefault="00343691" w:rsidP="003436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 </w:t>
            </w:r>
            <w:r w:rsidR="00BA1D68">
              <w:rPr>
                <w:rFonts w:ascii="Arial" w:hAnsi="Arial" w:cs="Arial"/>
                <w:sz w:val="18"/>
                <w:szCs w:val="18"/>
              </w:rPr>
              <w:t>&lt; 2.2E-16</w:t>
            </w:r>
          </w:p>
        </w:tc>
        <w:tc>
          <w:tcPr>
            <w:tcW w:w="2520" w:type="dxa"/>
          </w:tcPr>
          <w:p w:rsidR="00343691" w:rsidRPr="00D1394D" w:rsidRDefault="00343691" w:rsidP="00357D2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0" w:type="dxa"/>
          </w:tcPr>
          <w:p w:rsidR="00343691" w:rsidRPr="00D1394D" w:rsidRDefault="00343691" w:rsidP="00357D2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43691" w:rsidRPr="00D1394D" w:rsidTr="00357D2E">
        <w:tc>
          <w:tcPr>
            <w:tcW w:w="8815" w:type="dxa"/>
            <w:gridSpan w:val="4"/>
          </w:tcPr>
          <w:p w:rsidR="00343691" w:rsidRDefault="00343691" w:rsidP="00357D2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43691" w:rsidRPr="00D1394D" w:rsidTr="00357D2E">
        <w:tc>
          <w:tcPr>
            <w:tcW w:w="8815" w:type="dxa"/>
            <w:gridSpan w:val="4"/>
          </w:tcPr>
          <w:p w:rsidR="00343691" w:rsidRPr="00D1394D" w:rsidRDefault="00343691" w:rsidP="00357D2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Adjusted p-values for pairwise comparisons (Tukey HSD Test)</w:t>
            </w:r>
          </w:p>
        </w:tc>
      </w:tr>
      <w:tr w:rsidR="00343691" w:rsidRPr="00D1394D" w:rsidTr="00357D2E">
        <w:tc>
          <w:tcPr>
            <w:tcW w:w="2875" w:type="dxa"/>
          </w:tcPr>
          <w:p w:rsidR="00343691" w:rsidRPr="00D1394D" w:rsidRDefault="00343691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343691" w:rsidRPr="00D1394D" w:rsidRDefault="00343691" w:rsidP="00357D2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2520" w:type="dxa"/>
          </w:tcPr>
          <w:p w:rsidR="00343691" w:rsidRPr="00D1394D" w:rsidRDefault="00343691" w:rsidP="00343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 wnt5b</w:t>
            </w:r>
          </w:p>
        </w:tc>
        <w:tc>
          <w:tcPr>
            <w:tcW w:w="2250" w:type="dxa"/>
            <w:shd w:val="clear" w:color="auto" w:fill="FFFFFF" w:themeFill="background1"/>
          </w:tcPr>
          <w:p w:rsidR="00343691" w:rsidRPr="00D1394D" w:rsidRDefault="00343691" w:rsidP="00343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 mib1 + MO wnt5b</w:t>
            </w:r>
          </w:p>
        </w:tc>
      </w:tr>
      <w:tr w:rsidR="00343691" w:rsidRPr="00D1394D" w:rsidTr="00357D2E">
        <w:tc>
          <w:tcPr>
            <w:tcW w:w="2875" w:type="dxa"/>
          </w:tcPr>
          <w:p w:rsidR="00343691" w:rsidRPr="00521026" w:rsidRDefault="00343691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026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170" w:type="dxa"/>
          </w:tcPr>
          <w:p w:rsidR="00343691" w:rsidRPr="00D1394D" w:rsidRDefault="005E442D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1.8E-04</w:t>
            </w:r>
          </w:p>
        </w:tc>
        <w:tc>
          <w:tcPr>
            <w:tcW w:w="2520" w:type="dxa"/>
          </w:tcPr>
          <w:p w:rsidR="00343691" w:rsidRPr="00D1394D" w:rsidRDefault="005E442D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</w:t>
            </w:r>
          </w:p>
        </w:tc>
        <w:tc>
          <w:tcPr>
            <w:tcW w:w="2250" w:type="dxa"/>
            <w:shd w:val="clear" w:color="auto" w:fill="FFFFFF" w:themeFill="background1"/>
          </w:tcPr>
          <w:p w:rsidR="00343691" w:rsidRPr="00D1394D" w:rsidRDefault="005E442D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6.0E-14</w:t>
            </w:r>
          </w:p>
        </w:tc>
      </w:tr>
      <w:tr w:rsidR="00343691" w:rsidRPr="00D1394D" w:rsidTr="00357D2E">
        <w:tc>
          <w:tcPr>
            <w:tcW w:w="2875" w:type="dxa"/>
          </w:tcPr>
          <w:p w:rsidR="00343691" w:rsidRPr="00D1394D" w:rsidRDefault="00343691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343691" w:rsidRPr="00D1394D" w:rsidRDefault="00343691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:rsidR="00343691" w:rsidRPr="00D1394D" w:rsidRDefault="005E442D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4E-03</w:t>
            </w:r>
          </w:p>
        </w:tc>
        <w:tc>
          <w:tcPr>
            <w:tcW w:w="2250" w:type="dxa"/>
            <w:shd w:val="clear" w:color="auto" w:fill="FFFFFF" w:themeFill="background1"/>
          </w:tcPr>
          <w:p w:rsidR="00343691" w:rsidRPr="00D1394D" w:rsidRDefault="005E442D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9.7E-04</w:t>
            </w:r>
          </w:p>
        </w:tc>
      </w:tr>
      <w:tr w:rsidR="00343691" w:rsidRPr="00D1394D" w:rsidTr="00357D2E">
        <w:tc>
          <w:tcPr>
            <w:tcW w:w="2875" w:type="dxa"/>
          </w:tcPr>
          <w:p w:rsidR="00343691" w:rsidRPr="008B4267" w:rsidRDefault="00343691" w:rsidP="00343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 wnt5b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343691" w:rsidRPr="00D1394D" w:rsidRDefault="00343691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</w:tcPr>
          <w:p w:rsidR="00343691" w:rsidRDefault="00343691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343691" w:rsidRPr="00D1394D" w:rsidRDefault="00372705" w:rsidP="0035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5.3E-14</w:t>
            </w:r>
          </w:p>
        </w:tc>
      </w:tr>
    </w:tbl>
    <w:p w:rsidR="00814488" w:rsidRDefault="00814488" w:rsidP="00E358F9">
      <w:pPr>
        <w:spacing w:after="120"/>
        <w:rPr>
          <w:b/>
        </w:rPr>
      </w:pPr>
    </w:p>
    <w:p w:rsidR="00E358F9" w:rsidRDefault="00084CFC" w:rsidP="00E358F9">
      <w:pPr>
        <w:spacing w:after="120"/>
        <w:rPr>
          <w:b/>
        </w:rPr>
      </w:pPr>
      <w:r>
        <w:rPr>
          <w:b/>
        </w:rPr>
        <w:t xml:space="preserve">Figure </w:t>
      </w:r>
      <w:r w:rsidR="00E358F9" w:rsidRPr="00394090">
        <w:rPr>
          <w:b/>
        </w:rPr>
        <w:t xml:space="preserve">5B: </w:t>
      </w:r>
      <w:r w:rsidR="00622B38">
        <w:rPr>
          <w:b/>
        </w:rPr>
        <w:t xml:space="preserve"> </w:t>
      </w:r>
      <w:r w:rsidR="00E358F9" w:rsidRPr="00394090">
        <w:rPr>
          <w:b/>
        </w:rPr>
        <w:t xml:space="preserve">Axis extension angle in </w:t>
      </w:r>
      <w:r w:rsidR="00E358F9" w:rsidRPr="00394090">
        <w:rPr>
          <w:b/>
          <w:i/>
        </w:rPr>
        <w:t>mib1</w:t>
      </w:r>
      <w:r w:rsidR="001241E3">
        <w:rPr>
          <w:b/>
          <w:i/>
          <w:vertAlign w:val="superscript"/>
        </w:rPr>
        <w:t xml:space="preserve">tfi91 </w:t>
      </w:r>
      <w:r w:rsidR="001241E3">
        <w:rPr>
          <w:b/>
          <w:i/>
        </w:rPr>
        <w:t>WT siblings</w:t>
      </w:r>
      <w:r w:rsidR="00E358F9" w:rsidRPr="00394090">
        <w:rPr>
          <w:b/>
        </w:rPr>
        <w:t xml:space="preserve"> + MO wnt5b</w:t>
      </w:r>
      <w:r w:rsidR="00E358F9"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0"/>
        <w:gridCol w:w="1995"/>
        <w:gridCol w:w="1745"/>
        <w:gridCol w:w="2845"/>
      </w:tblGrid>
      <w:tr w:rsidR="001241E3" w:rsidRPr="00D1394D" w:rsidTr="001241E3">
        <w:tc>
          <w:tcPr>
            <w:tcW w:w="1870" w:type="dxa"/>
          </w:tcPr>
          <w:p w:rsidR="001241E3" w:rsidRPr="00D1394D" w:rsidRDefault="001241E3" w:rsidP="0012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</w:tcPr>
          <w:p w:rsidR="001241E3" w:rsidRPr="00D1394D" w:rsidRDefault="001241E3" w:rsidP="001241E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Mean value</w:t>
            </w:r>
          </w:p>
        </w:tc>
        <w:tc>
          <w:tcPr>
            <w:tcW w:w="1745" w:type="dxa"/>
          </w:tcPr>
          <w:p w:rsidR="001241E3" w:rsidRPr="00D1394D" w:rsidRDefault="001241E3" w:rsidP="001241E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2845" w:type="dxa"/>
          </w:tcPr>
          <w:p w:rsidR="001241E3" w:rsidRPr="00D1394D" w:rsidRDefault="001241E3" w:rsidP="001241E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1241E3" w:rsidRPr="00D1394D" w:rsidTr="001241E3">
        <w:tc>
          <w:tcPr>
            <w:tcW w:w="1870" w:type="dxa"/>
          </w:tcPr>
          <w:p w:rsidR="001241E3" w:rsidRPr="001241E3" w:rsidRDefault="001241E3" w:rsidP="001241E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D3CDC">
              <w:rPr>
                <w:rFonts w:ascii="Arial" w:hAnsi="Arial" w:cs="Arial"/>
                <w:i/>
                <w:sz w:val="18"/>
                <w:szCs w:val="18"/>
              </w:rPr>
              <w:t>mib1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[WT siblings] </w:t>
            </w:r>
          </w:p>
        </w:tc>
        <w:tc>
          <w:tcPr>
            <w:tcW w:w="1995" w:type="dxa"/>
          </w:tcPr>
          <w:p w:rsidR="001241E3" w:rsidRPr="002A1A5F" w:rsidRDefault="001241E3" w:rsidP="0012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189.3</w:t>
            </w:r>
          </w:p>
        </w:tc>
        <w:tc>
          <w:tcPr>
            <w:tcW w:w="1745" w:type="dxa"/>
          </w:tcPr>
          <w:p w:rsidR="001241E3" w:rsidRPr="002A1A5F" w:rsidRDefault="001241E3" w:rsidP="0012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2845" w:type="dxa"/>
          </w:tcPr>
          <w:p w:rsidR="001241E3" w:rsidRPr="002A1A5F" w:rsidRDefault="001241E3" w:rsidP="0012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</w:tr>
      <w:tr w:rsidR="001241E3" w:rsidRPr="00D1394D" w:rsidTr="001241E3">
        <w:tc>
          <w:tcPr>
            <w:tcW w:w="1870" w:type="dxa"/>
          </w:tcPr>
          <w:p w:rsidR="001241E3" w:rsidRDefault="001241E3" w:rsidP="001241E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D3CDC">
              <w:rPr>
                <w:rFonts w:ascii="Arial" w:hAnsi="Arial" w:cs="Arial"/>
                <w:i/>
                <w:sz w:val="18"/>
                <w:szCs w:val="18"/>
              </w:rPr>
              <w:t>mib1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[WT siblings] </w:t>
            </w:r>
          </w:p>
          <w:p w:rsidR="001241E3" w:rsidRPr="008D3CDC" w:rsidRDefault="001241E3" w:rsidP="001241E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+ MO wnt5b</w:t>
            </w:r>
          </w:p>
        </w:tc>
        <w:tc>
          <w:tcPr>
            <w:tcW w:w="1995" w:type="dxa"/>
          </w:tcPr>
          <w:p w:rsidR="001241E3" w:rsidRPr="002A1A5F" w:rsidRDefault="001241E3" w:rsidP="0012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185.0</w:t>
            </w:r>
          </w:p>
        </w:tc>
        <w:tc>
          <w:tcPr>
            <w:tcW w:w="1745" w:type="dxa"/>
          </w:tcPr>
          <w:p w:rsidR="001241E3" w:rsidRPr="002A1A5F" w:rsidRDefault="001241E3" w:rsidP="0012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2845" w:type="dxa"/>
          </w:tcPr>
          <w:p w:rsidR="001241E3" w:rsidRPr="002A1A5F" w:rsidRDefault="001241E3" w:rsidP="0012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</w:tr>
      <w:tr w:rsidR="001241E3" w:rsidRPr="00D1394D" w:rsidTr="001241E3">
        <w:tc>
          <w:tcPr>
            <w:tcW w:w="8455" w:type="dxa"/>
            <w:gridSpan w:val="4"/>
          </w:tcPr>
          <w:p w:rsidR="001241E3" w:rsidRPr="00A543B0" w:rsidRDefault="001241E3" w:rsidP="001241E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241E3" w:rsidRPr="00D1394D" w:rsidTr="001241E3">
        <w:tc>
          <w:tcPr>
            <w:tcW w:w="8455" w:type="dxa"/>
            <w:gridSpan w:val="4"/>
          </w:tcPr>
          <w:p w:rsidR="001241E3" w:rsidRPr="00A543B0" w:rsidRDefault="001241E3" w:rsidP="001241E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Wilcoxon test:</w:t>
            </w:r>
          </w:p>
        </w:tc>
      </w:tr>
      <w:tr w:rsidR="001241E3" w:rsidRPr="00D1394D" w:rsidTr="001241E3">
        <w:tc>
          <w:tcPr>
            <w:tcW w:w="1870" w:type="dxa"/>
          </w:tcPr>
          <w:p w:rsidR="001241E3" w:rsidRDefault="001241E3" w:rsidP="001241E3">
            <w:r>
              <w:rPr>
                <w:rFonts w:ascii="Arial" w:hAnsi="Arial" w:cs="Arial"/>
                <w:sz w:val="18"/>
                <w:szCs w:val="18"/>
              </w:rPr>
              <w:t>p = 8.5E-03</w:t>
            </w:r>
          </w:p>
        </w:tc>
        <w:tc>
          <w:tcPr>
            <w:tcW w:w="1995" w:type="dxa"/>
          </w:tcPr>
          <w:p w:rsidR="001241E3" w:rsidRPr="003D4AFE" w:rsidRDefault="001241E3" w:rsidP="001241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:rsidR="001241E3" w:rsidRPr="00D1394D" w:rsidRDefault="001241E3" w:rsidP="001241E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45" w:type="dxa"/>
          </w:tcPr>
          <w:p w:rsidR="001241E3" w:rsidRPr="00D1394D" w:rsidRDefault="001241E3" w:rsidP="001241E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814488" w:rsidRDefault="00814488" w:rsidP="00D14DB7">
      <w:pPr>
        <w:spacing w:before="120" w:after="120"/>
        <w:rPr>
          <w:b/>
        </w:rPr>
      </w:pPr>
    </w:p>
    <w:p w:rsidR="001241E3" w:rsidRDefault="00084CFC" w:rsidP="00D14DB7">
      <w:pPr>
        <w:spacing w:before="120" w:after="120"/>
        <w:rPr>
          <w:b/>
        </w:rPr>
      </w:pPr>
      <w:r>
        <w:rPr>
          <w:b/>
        </w:rPr>
        <w:t xml:space="preserve">Figure </w:t>
      </w:r>
      <w:r w:rsidR="00622B38">
        <w:rPr>
          <w:b/>
        </w:rPr>
        <w:t xml:space="preserve">5C; </w:t>
      </w:r>
      <w:r w:rsidR="001241E3" w:rsidRPr="00394090">
        <w:rPr>
          <w:b/>
        </w:rPr>
        <w:t xml:space="preserve">Axis extension angle in </w:t>
      </w:r>
      <w:r w:rsidR="001241E3" w:rsidRPr="00394090">
        <w:rPr>
          <w:b/>
          <w:i/>
        </w:rPr>
        <w:t>mib1</w:t>
      </w:r>
      <w:r w:rsidR="001241E3">
        <w:rPr>
          <w:b/>
          <w:i/>
          <w:vertAlign w:val="superscript"/>
        </w:rPr>
        <w:t xml:space="preserve">tfi91 </w:t>
      </w:r>
      <w:r w:rsidR="001241E3">
        <w:rPr>
          <w:b/>
          <w:i/>
        </w:rPr>
        <w:t>homozygous mutants</w:t>
      </w:r>
      <w:r w:rsidR="001241E3" w:rsidRPr="00394090">
        <w:rPr>
          <w:b/>
        </w:rPr>
        <w:t xml:space="preserve"> + MO wnt5b</w:t>
      </w:r>
      <w:r w:rsidR="001241E3"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0"/>
        <w:gridCol w:w="1995"/>
        <w:gridCol w:w="1745"/>
        <w:gridCol w:w="2845"/>
      </w:tblGrid>
      <w:tr w:rsidR="001241E3" w:rsidRPr="00D1394D" w:rsidTr="001241E3">
        <w:tc>
          <w:tcPr>
            <w:tcW w:w="1870" w:type="dxa"/>
          </w:tcPr>
          <w:p w:rsidR="001241E3" w:rsidRPr="00D1394D" w:rsidRDefault="001241E3" w:rsidP="0012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</w:tcPr>
          <w:p w:rsidR="001241E3" w:rsidRPr="00D1394D" w:rsidRDefault="001241E3" w:rsidP="001241E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Mean value</w:t>
            </w:r>
          </w:p>
        </w:tc>
        <w:tc>
          <w:tcPr>
            <w:tcW w:w="1745" w:type="dxa"/>
          </w:tcPr>
          <w:p w:rsidR="001241E3" w:rsidRPr="00D1394D" w:rsidRDefault="001241E3" w:rsidP="001241E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2845" w:type="dxa"/>
          </w:tcPr>
          <w:p w:rsidR="001241E3" w:rsidRPr="00D1394D" w:rsidRDefault="001241E3" w:rsidP="001241E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1241E3" w:rsidRPr="00D1394D" w:rsidTr="001241E3">
        <w:tc>
          <w:tcPr>
            <w:tcW w:w="1870" w:type="dxa"/>
          </w:tcPr>
          <w:p w:rsidR="001241E3" w:rsidRPr="00D1394D" w:rsidRDefault="001241E3" w:rsidP="0012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CDC">
              <w:rPr>
                <w:rFonts w:ascii="Arial" w:hAnsi="Arial" w:cs="Arial"/>
                <w:i/>
                <w:sz w:val="18"/>
                <w:szCs w:val="18"/>
              </w:rPr>
              <w:t>mib1</w:t>
            </w:r>
            <w:r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8D3CDC">
              <w:rPr>
                <w:rFonts w:ascii="Arial" w:hAnsi="Arial" w:cs="Arial"/>
                <w:i/>
                <w:sz w:val="18"/>
                <w:szCs w:val="18"/>
              </w:rPr>
              <w:t>tfi91/tfi91</w:t>
            </w:r>
            <w:r>
              <w:rPr>
                <w:rFonts w:ascii="Arial" w:hAnsi="Arial" w:cs="Arial"/>
                <w:i/>
                <w:sz w:val="18"/>
                <w:szCs w:val="18"/>
              </w:rPr>
              <w:t>]</w:t>
            </w:r>
          </w:p>
        </w:tc>
        <w:tc>
          <w:tcPr>
            <w:tcW w:w="1995" w:type="dxa"/>
          </w:tcPr>
          <w:p w:rsidR="001241E3" w:rsidRPr="002A1A5F" w:rsidRDefault="00F95D59" w:rsidP="0012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185.5</w:t>
            </w:r>
          </w:p>
        </w:tc>
        <w:tc>
          <w:tcPr>
            <w:tcW w:w="1745" w:type="dxa"/>
          </w:tcPr>
          <w:p w:rsidR="001241E3" w:rsidRPr="002A1A5F" w:rsidRDefault="00F95D59" w:rsidP="0012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2845" w:type="dxa"/>
          </w:tcPr>
          <w:p w:rsidR="001241E3" w:rsidRPr="002A1A5F" w:rsidRDefault="001241E3" w:rsidP="0012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1241E3" w:rsidRPr="00D1394D" w:rsidTr="001241E3">
        <w:tc>
          <w:tcPr>
            <w:tcW w:w="1870" w:type="dxa"/>
          </w:tcPr>
          <w:p w:rsidR="001241E3" w:rsidRDefault="001241E3" w:rsidP="001241E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D3CDC">
              <w:rPr>
                <w:rFonts w:ascii="Arial" w:hAnsi="Arial" w:cs="Arial"/>
                <w:i/>
                <w:sz w:val="18"/>
                <w:szCs w:val="18"/>
              </w:rPr>
              <w:t>mib1</w:t>
            </w:r>
            <w:r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8D3CDC">
              <w:rPr>
                <w:rFonts w:ascii="Arial" w:hAnsi="Arial" w:cs="Arial"/>
                <w:i/>
                <w:sz w:val="18"/>
                <w:szCs w:val="18"/>
              </w:rPr>
              <w:t>tfi91/tfi91</w:t>
            </w:r>
            <w:r>
              <w:rPr>
                <w:rFonts w:ascii="Arial" w:hAnsi="Arial" w:cs="Arial"/>
                <w:i/>
                <w:sz w:val="18"/>
                <w:szCs w:val="18"/>
              </w:rPr>
              <w:t>]</w:t>
            </w:r>
          </w:p>
          <w:p w:rsidR="001241E3" w:rsidRPr="008D3CDC" w:rsidRDefault="001241E3" w:rsidP="001241E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+ MO wnt5b</w:t>
            </w:r>
          </w:p>
        </w:tc>
        <w:tc>
          <w:tcPr>
            <w:tcW w:w="1995" w:type="dxa"/>
          </w:tcPr>
          <w:p w:rsidR="001241E3" w:rsidRPr="002A1A5F" w:rsidRDefault="00F95D59" w:rsidP="0012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180.0</w:t>
            </w:r>
          </w:p>
        </w:tc>
        <w:tc>
          <w:tcPr>
            <w:tcW w:w="1745" w:type="dxa"/>
          </w:tcPr>
          <w:p w:rsidR="001241E3" w:rsidRPr="002A1A5F" w:rsidRDefault="00F95D59" w:rsidP="0012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2845" w:type="dxa"/>
          </w:tcPr>
          <w:p w:rsidR="001241E3" w:rsidRPr="002A1A5F" w:rsidRDefault="001241E3" w:rsidP="00124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1241E3" w:rsidRPr="00D1394D" w:rsidTr="001241E3">
        <w:tc>
          <w:tcPr>
            <w:tcW w:w="8455" w:type="dxa"/>
            <w:gridSpan w:val="4"/>
          </w:tcPr>
          <w:p w:rsidR="001241E3" w:rsidRPr="00A543B0" w:rsidRDefault="001241E3" w:rsidP="001241E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241E3" w:rsidRPr="00D1394D" w:rsidTr="001241E3">
        <w:tc>
          <w:tcPr>
            <w:tcW w:w="8455" w:type="dxa"/>
            <w:gridSpan w:val="4"/>
          </w:tcPr>
          <w:p w:rsidR="001241E3" w:rsidRPr="00A543B0" w:rsidRDefault="001241E3" w:rsidP="001241E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Wilcoxon test:</w:t>
            </w:r>
          </w:p>
        </w:tc>
      </w:tr>
      <w:tr w:rsidR="001241E3" w:rsidRPr="00D1394D" w:rsidTr="001241E3">
        <w:tc>
          <w:tcPr>
            <w:tcW w:w="1870" w:type="dxa"/>
          </w:tcPr>
          <w:p w:rsidR="001241E3" w:rsidRDefault="001241E3" w:rsidP="001241E3">
            <w:r>
              <w:rPr>
                <w:rFonts w:ascii="Arial" w:hAnsi="Arial" w:cs="Arial"/>
                <w:sz w:val="18"/>
                <w:szCs w:val="18"/>
              </w:rPr>
              <w:t>p = 0.03</w:t>
            </w:r>
          </w:p>
        </w:tc>
        <w:tc>
          <w:tcPr>
            <w:tcW w:w="1995" w:type="dxa"/>
          </w:tcPr>
          <w:p w:rsidR="001241E3" w:rsidRPr="003D4AFE" w:rsidRDefault="001241E3" w:rsidP="001241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:rsidR="001241E3" w:rsidRPr="00D1394D" w:rsidRDefault="001241E3" w:rsidP="001241E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45" w:type="dxa"/>
          </w:tcPr>
          <w:p w:rsidR="001241E3" w:rsidRPr="00D1394D" w:rsidRDefault="001241E3" w:rsidP="001241E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814488" w:rsidRDefault="00814488" w:rsidP="00D14DB7">
      <w:pPr>
        <w:spacing w:before="120" w:after="120"/>
        <w:jc w:val="both"/>
        <w:rPr>
          <w:b/>
        </w:rPr>
      </w:pPr>
    </w:p>
    <w:p w:rsidR="00622B38" w:rsidRPr="00622B38" w:rsidRDefault="00622B38" w:rsidP="00814488">
      <w:pPr>
        <w:spacing w:after="0"/>
        <w:jc w:val="both"/>
        <w:rPr>
          <w:b/>
        </w:rPr>
      </w:pPr>
      <w:r w:rsidRPr="00622B38">
        <w:rPr>
          <w:b/>
        </w:rPr>
        <w:t>Note with respect to the statistic</w:t>
      </w:r>
      <w:r w:rsidR="00084CFC">
        <w:rPr>
          <w:b/>
        </w:rPr>
        <w:t>al</w:t>
      </w:r>
      <w:r w:rsidRPr="00622B38">
        <w:rPr>
          <w:b/>
        </w:rPr>
        <w:t xml:space="preserve"> analys</w:t>
      </w:r>
      <w:r w:rsidR="00084CFC">
        <w:rPr>
          <w:b/>
        </w:rPr>
        <w:t>e</w:t>
      </w:r>
      <w:r w:rsidRPr="00622B38">
        <w:rPr>
          <w:b/>
        </w:rPr>
        <w:t xml:space="preserve">s performed in </w:t>
      </w:r>
      <w:r w:rsidR="00084CFC">
        <w:rPr>
          <w:b/>
        </w:rPr>
        <w:t xml:space="preserve">Figure </w:t>
      </w:r>
      <w:r w:rsidR="00814488">
        <w:rPr>
          <w:b/>
        </w:rPr>
        <w:t>5</w:t>
      </w:r>
      <w:r w:rsidRPr="00622B38">
        <w:rPr>
          <w:b/>
        </w:rPr>
        <w:t>:</w:t>
      </w:r>
    </w:p>
    <w:p w:rsidR="001241E3" w:rsidRPr="002515A3" w:rsidRDefault="003813F9" w:rsidP="00814488">
      <w:pPr>
        <w:spacing w:after="0"/>
        <w:jc w:val="both"/>
      </w:pPr>
      <w:r w:rsidRPr="002515A3">
        <w:t xml:space="preserve">To account for the </w:t>
      </w:r>
      <w:r w:rsidR="002515A3">
        <w:t>highly</w:t>
      </w:r>
      <w:r w:rsidRPr="002515A3">
        <w:t xml:space="preserve"> different sizes between WT sibling and homozygous mutant populations encountered in th</w:t>
      </w:r>
      <w:r w:rsidR="002515A3">
        <w:t>e</w:t>
      </w:r>
      <w:r w:rsidRPr="002515A3">
        <w:t xml:space="preserve"> experiment</w:t>
      </w:r>
      <w:r w:rsidR="002515A3">
        <w:t xml:space="preserve"> displayed in </w:t>
      </w:r>
      <w:r w:rsidR="00084CFC">
        <w:t xml:space="preserve">Figure </w:t>
      </w:r>
      <w:r w:rsidR="002515A3">
        <w:t>5B</w:t>
      </w:r>
      <w:r w:rsidR="00622B38">
        <w:t>,C</w:t>
      </w:r>
      <w:r w:rsidRPr="002515A3">
        <w:t xml:space="preserve">, statistics are performed by pairwise comparison rather than using multiple comparisons as used for the data </w:t>
      </w:r>
      <w:r w:rsidR="002515A3">
        <w:t>of</w:t>
      </w:r>
      <w:r w:rsidRPr="002515A3">
        <w:t xml:space="preserve"> </w:t>
      </w:r>
      <w:r w:rsidR="00084CFC">
        <w:t xml:space="preserve">Figure </w:t>
      </w:r>
      <w:r w:rsidRPr="002515A3">
        <w:t xml:space="preserve">5A. </w:t>
      </w:r>
      <w:r w:rsidR="00D5588A">
        <w:t>N</w:t>
      </w:r>
      <w:r w:rsidRPr="002515A3">
        <w:t xml:space="preserve">ote that the </w:t>
      </w:r>
      <w:r w:rsidR="002515A3" w:rsidRPr="002515A3">
        <w:t xml:space="preserve">use </w:t>
      </w:r>
      <w:r w:rsidR="00D5588A">
        <w:t>of similar</w:t>
      </w:r>
      <w:r w:rsidR="002515A3" w:rsidRPr="002515A3">
        <w:t xml:space="preserve"> pairwise comparisons </w:t>
      </w:r>
      <w:r w:rsidR="00D5588A">
        <w:t>by</w:t>
      </w:r>
      <w:r w:rsidR="002515A3" w:rsidRPr="002515A3">
        <w:t xml:space="preserve"> Wilcoxon tests </w:t>
      </w:r>
      <w:r w:rsidR="00D5588A">
        <w:t xml:space="preserve">for the data of </w:t>
      </w:r>
      <w:r w:rsidR="00084CFC">
        <w:t xml:space="preserve">Figure </w:t>
      </w:r>
      <w:r w:rsidR="00D5588A">
        <w:t xml:space="preserve">5A would </w:t>
      </w:r>
      <w:r w:rsidR="00622B38">
        <w:t xml:space="preserve">also </w:t>
      </w:r>
      <w:r w:rsidR="00D5588A">
        <w:t>confirm</w:t>
      </w:r>
      <w:r w:rsidR="002515A3" w:rsidRPr="002515A3">
        <w:t xml:space="preserve"> the conclusions </w:t>
      </w:r>
      <w:r w:rsidR="00D14DB7">
        <w:t xml:space="preserve">already </w:t>
      </w:r>
      <w:r w:rsidR="002515A3" w:rsidRPr="002515A3">
        <w:t xml:space="preserve">drawn from One way </w:t>
      </w:r>
      <w:proofErr w:type="spellStart"/>
      <w:r w:rsidR="002515A3" w:rsidRPr="002515A3">
        <w:t>Anova</w:t>
      </w:r>
      <w:proofErr w:type="spellEnd"/>
      <w:r w:rsidR="002515A3" w:rsidRPr="002515A3">
        <w:t xml:space="preserve">, i.e. </w:t>
      </w:r>
      <w:r w:rsidR="002515A3">
        <w:t>that MO wnt5b does not affect CE in WT controls (p=</w:t>
      </w:r>
      <w:r w:rsidR="00D5588A">
        <w:t>0.23</w:t>
      </w:r>
      <w:r w:rsidR="002515A3">
        <w:t xml:space="preserve">) but enhances the CE defects of mib1 </w:t>
      </w:r>
      <w:proofErr w:type="spellStart"/>
      <w:r w:rsidR="002515A3">
        <w:t>morphants</w:t>
      </w:r>
      <w:proofErr w:type="spellEnd"/>
      <w:r w:rsidR="002515A3">
        <w:t xml:space="preserve"> (p=</w:t>
      </w:r>
      <w:r w:rsidR="00D5588A">
        <w:t>3.5E-04</w:t>
      </w:r>
      <w:r w:rsidR="002515A3">
        <w:t>).</w:t>
      </w:r>
    </w:p>
    <w:p w:rsidR="0092521F" w:rsidRPr="00AA5A4B" w:rsidRDefault="0092521F" w:rsidP="00BB230B">
      <w:pPr>
        <w:spacing w:after="120"/>
        <w:rPr>
          <w:b/>
        </w:rPr>
      </w:pPr>
    </w:p>
    <w:sectPr w:rsidR="0092521F" w:rsidRPr="00AA5A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4D"/>
    <w:rsid w:val="00013B82"/>
    <w:rsid w:val="000263FC"/>
    <w:rsid w:val="00032FA2"/>
    <w:rsid w:val="00052899"/>
    <w:rsid w:val="00056916"/>
    <w:rsid w:val="000679CB"/>
    <w:rsid w:val="00084CFC"/>
    <w:rsid w:val="00087B26"/>
    <w:rsid w:val="000A28EF"/>
    <w:rsid w:val="000A4064"/>
    <w:rsid w:val="000C3AA4"/>
    <w:rsid w:val="000C5D10"/>
    <w:rsid w:val="000D3018"/>
    <w:rsid w:val="000F1A35"/>
    <w:rsid w:val="000F3C62"/>
    <w:rsid w:val="00110F40"/>
    <w:rsid w:val="00115716"/>
    <w:rsid w:val="00123143"/>
    <w:rsid w:val="001241E3"/>
    <w:rsid w:val="00145041"/>
    <w:rsid w:val="00151FF7"/>
    <w:rsid w:val="001523AC"/>
    <w:rsid w:val="00196B79"/>
    <w:rsid w:val="001B411A"/>
    <w:rsid w:val="00215248"/>
    <w:rsid w:val="00215CBE"/>
    <w:rsid w:val="00215DB0"/>
    <w:rsid w:val="00242338"/>
    <w:rsid w:val="002515A3"/>
    <w:rsid w:val="002550F8"/>
    <w:rsid w:val="00275032"/>
    <w:rsid w:val="002A1A5F"/>
    <w:rsid w:val="002A37AE"/>
    <w:rsid w:val="002B595D"/>
    <w:rsid w:val="002B7EC6"/>
    <w:rsid w:val="002D104C"/>
    <w:rsid w:val="002D161C"/>
    <w:rsid w:val="002D406B"/>
    <w:rsid w:val="002D43FB"/>
    <w:rsid w:val="003015E4"/>
    <w:rsid w:val="00313A0B"/>
    <w:rsid w:val="003141AD"/>
    <w:rsid w:val="00327522"/>
    <w:rsid w:val="00343691"/>
    <w:rsid w:val="00357D2E"/>
    <w:rsid w:val="0036591F"/>
    <w:rsid w:val="00365BC6"/>
    <w:rsid w:val="003702A5"/>
    <w:rsid w:val="00372705"/>
    <w:rsid w:val="003737BB"/>
    <w:rsid w:val="003813F9"/>
    <w:rsid w:val="00383F5C"/>
    <w:rsid w:val="003864B3"/>
    <w:rsid w:val="0039059B"/>
    <w:rsid w:val="0039386A"/>
    <w:rsid w:val="00394090"/>
    <w:rsid w:val="003A1173"/>
    <w:rsid w:val="003A2EF3"/>
    <w:rsid w:val="003C35B0"/>
    <w:rsid w:val="003D28D5"/>
    <w:rsid w:val="003D4AFE"/>
    <w:rsid w:val="003D7C12"/>
    <w:rsid w:val="003D7F19"/>
    <w:rsid w:val="003F3D2B"/>
    <w:rsid w:val="004118DF"/>
    <w:rsid w:val="00420D9A"/>
    <w:rsid w:val="00473DA7"/>
    <w:rsid w:val="004A2F11"/>
    <w:rsid w:val="004A3E28"/>
    <w:rsid w:val="004B2E5C"/>
    <w:rsid w:val="004B40D1"/>
    <w:rsid w:val="004B7B79"/>
    <w:rsid w:val="004E0A05"/>
    <w:rsid w:val="004E1D3C"/>
    <w:rsid w:val="004F2F71"/>
    <w:rsid w:val="004F47B8"/>
    <w:rsid w:val="00512488"/>
    <w:rsid w:val="00521026"/>
    <w:rsid w:val="00530216"/>
    <w:rsid w:val="00530A25"/>
    <w:rsid w:val="00532AC2"/>
    <w:rsid w:val="005424E6"/>
    <w:rsid w:val="00552B18"/>
    <w:rsid w:val="005542A2"/>
    <w:rsid w:val="00566394"/>
    <w:rsid w:val="00582C8F"/>
    <w:rsid w:val="005A17D2"/>
    <w:rsid w:val="005A59DC"/>
    <w:rsid w:val="005B7D80"/>
    <w:rsid w:val="005E442D"/>
    <w:rsid w:val="005E751F"/>
    <w:rsid w:val="00605200"/>
    <w:rsid w:val="0061271C"/>
    <w:rsid w:val="00622B38"/>
    <w:rsid w:val="006416DB"/>
    <w:rsid w:val="00646F82"/>
    <w:rsid w:val="00685796"/>
    <w:rsid w:val="006A1071"/>
    <w:rsid w:val="006B2980"/>
    <w:rsid w:val="006B2A04"/>
    <w:rsid w:val="006D19F1"/>
    <w:rsid w:val="006D4808"/>
    <w:rsid w:val="006D7396"/>
    <w:rsid w:val="006F5652"/>
    <w:rsid w:val="0070707D"/>
    <w:rsid w:val="00727F09"/>
    <w:rsid w:val="0073432A"/>
    <w:rsid w:val="00736329"/>
    <w:rsid w:val="00747E22"/>
    <w:rsid w:val="00770564"/>
    <w:rsid w:val="0077083A"/>
    <w:rsid w:val="00777ECA"/>
    <w:rsid w:val="007852BA"/>
    <w:rsid w:val="007A070A"/>
    <w:rsid w:val="007A4754"/>
    <w:rsid w:val="007A5527"/>
    <w:rsid w:val="007B0EF0"/>
    <w:rsid w:val="007C0270"/>
    <w:rsid w:val="007D4DA1"/>
    <w:rsid w:val="007F198D"/>
    <w:rsid w:val="007F1DC1"/>
    <w:rsid w:val="00812D42"/>
    <w:rsid w:val="00814488"/>
    <w:rsid w:val="008429A4"/>
    <w:rsid w:val="008430B8"/>
    <w:rsid w:val="00864B81"/>
    <w:rsid w:val="00871D05"/>
    <w:rsid w:val="00884841"/>
    <w:rsid w:val="008B4267"/>
    <w:rsid w:val="008B52C5"/>
    <w:rsid w:val="008B6400"/>
    <w:rsid w:val="008C6E8D"/>
    <w:rsid w:val="008D1ECC"/>
    <w:rsid w:val="008D3CDC"/>
    <w:rsid w:val="008F0253"/>
    <w:rsid w:val="008F1B64"/>
    <w:rsid w:val="009027E0"/>
    <w:rsid w:val="009050DF"/>
    <w:rsid w:val="00913DF0"/>
    <w:rsid w:val="00915336"/>
    <w:rsid w:val="0092521F"/>
    <w:rsid w:val="0092613F"/>
    <w:rsid w:val="009522BD"/>
    <w:rsid w:val="00957430"/>
    <w:rsid w:val="00961CE9"/>
    <w:rsid w:val="0096413D"/>
    <w:rsid w:val="0099682A"/>
    <w:rsid w:val="009B739D"/>
    <w:rsid w:val="009C43CE"/>
    <w:rsid w:val="009C52FD"/>
    <w:rsid w:val="009E5166"/>
    <w:rsid w:val="009E5432"/>
    <w:rsid w:val="009F141A"/>
    <w:rsid w:val="009F51A9"/>
    <w:rsid w:val="009F7588"/>
    <w:rsid w:val="00A020DA"/>
    <w:rsid w:val="00A050CD"/>
    <w:rsid w:val="00A05120"/>
    <w:rsid w:val="00A12344"/>
    <w:rsid w:val="00A13073"/>
    <w:rsid w:val="00A417F2"/>
    <w:rsid w:val="00A543B0"/>
    <w:rsid w:val="00A918EB"/>
    <w:rsid w:val="00AA5A4B"/>
    <w:rsid w:val="00AD7B93"/>
    <w:rsid w:val="00AE50BA"/>
    <w:rsid w:val="00AE56B2"/>
    <w:rsid w:val="00B01371"/>
    <w:rsid w:val="00B07DF7"/>
    <w:rsid w:val="00B33F65"/>
    <w:rsid w:val="00B33F7B"/>
    <w:rsid w:val="00B41063"/>
    <w:rsid w:val="00B94A8E"/>
    <w:rsid w:val="00B94EB9"/>
    <w:rsid w:val="00B95780"/>
    <w:rsid w:val="00B96B72"/>
    <w:rsid w:val="00BA1D68"/>
    <w:rsid w:val="00BA47FD"/>
    <w:rsid w:val="00BB230B"/>
    <w:rsid w:val="00BD1D2A"/>
    <w:rsid w:val="00BE64F4"/>
    <w:rsid w:val="00BF7BC6"/>
    <w:rsid w:val="00C00A94"/>
    <w:rsid w:val="00C03EF5"/>
    <w:rsid w:val="00C06591"/>
    <w:rsid w:val="00C243CA"/>
    <w:rsid w:val="00C4185E"/>
    <w:rsid w:val="00C57D39"/>
    <w:rsid w:val="00C84843"/>
    <w:rsid w:val="00C92B01"/>
    <w:rsid w:val="00CB183E"/>
    <w:rsid w:val="00CB628C"/>
    <w:rsid w:val="00CC6B2A"/>
    <w:rsid w:val="00D0294D"/>
    <w:rsid w:val="00D1394D"/>
    <w:rsid w:val="00D14DB7"/>
    <w:rsid w:val="00D16143"/>
    <w:rsid w:val="00D25034"/>
    <w:rsid w:val="00D5588A"/>
    <w:rsid w:val="00D61DB0"/>
    <w:rsid w:val="00D73929"/>
    <w:rsid w:val="00D75FEF"/>
    <w:rsid w:val="00D8700E"/>
    <w:rsid w:val="00D92D4A"/>
    <w:rsid w:val="00D92F0D"/>
    <w:rsid w:val="00D93E61"/>
    <w:rsid w:val="00D9798A"/>
    <w:rsid w:val="00DA4C76"/>
    <w:rsid w:val="00DB712F"/>
    <w:rsid w:val="00DD097A"/>
    <w:rsid w:val="00E358F9"/>
    <w:rsid w:val="00E35B8D"/>
    <w:rsid w:val="00E90971"/>
    <w:rsid w:val="00E9164D"/>
    <w:rsid w:val="00EA45FD"/>
    <w:rsid w:val="00EB39B5"/>
    <w:rsid w:val="00EC1B22"/>
    <w:rsid w:val="00ED0EE3"/>
    <w:rsid w:val="00F00BB8"/>
    <w:rsid w:val="00F023FB"/>
    <w:rsid w:val="00F10DF1"/>
    <w:rsid w:val="00F10EC0"/>
    <w:rsid w:val="00F12F0A"/>
    <w:rsid w:val="00F17CD2"/>
    <w:rsid w:val="00F21B0C"/>
    <w:rsid w:val="00F27FAB"/>
    <w:rsid w:val="00F34A5E"/>
    <w:rsid w:val="00F376E7"/>
    <w:rsid w:val="00F55AF7"/>
    <w:rsid w:val="00F60F94"/>
    <w:rsid w:val="00F61513"/>
    <w:rsid w:val="00F63F74"/>
    <w:rsid w:val="00F65860"/>
    <w:rsid w:val="00F71515"/>
    <w:rsid w:val="00F770FE"/>
    <w:rsid w:val="00F95D59"/>
    <w:rsid w:val="00F96834"/>
    <w:rsid w:val="00FB46F8"/>
    <w:rsid w:val="00FF3149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9EEFA-CFAD-438A-98AC-C50587D1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1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B9198-310B-4AD9-8669-F09381A3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furthauer</dc:creator>
  <cp:keywords/>
  <dc:description/>
  <cp:lastModifiedBy>furthauer</cp:lastModifiedBy>
  <cp:revision>3</cp:revision>
  <dcterms:created xsi:type="dcterms:W3CDTF">2021-12-21T10:15:00Z</dcterms:created>
  <dcterms:modified xsi:type="dcterms:W3CDTF">2021-12-21T10:44:00Z</dcterms:modified>
</cp:coreProperties>
</file>