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20" w:rsidRPr="00724B6F" w:rsidRDefault="00E05CBB" w:rsidP="007F3792">
      <w:pPr>
        <w:rPr>
          <w:rFonts w:ascii="Arial" w:hAnsi="Arial" w:cs="Arial"/>
          <w:b/>
          <w:sz w:val="18"/>
          <w:szCs w:val="18"/>
        </w:rPr>
      </w:pPr>
      <w:r>
        <w:rPr>
          <w:rFonts w:ascii="Arial" w:hAnsi="Arial" w:cs="Arial"/>
          <w:b/>
          <w:sz w:val="18"/>
          <w:szCs w:val="18"/>
        </w:rPr>
        <w:t xml:space="preserve">Supplementary file </w:t>
      </w:r>
      <w:r w:rsidR="00ED4420" w:rsidRPr="00724B6F">
        <w:rPr>
          <w:rFonts w:ascii="Arial" w:hAnsi="Arial" w:cs="Arial"/>
          <w:b/>
          <w:sz w:val="18"/>
          <w:szCs w:val="18"/>
        </w:rPr>
        <w:t xml:space="preserve">1. Weight loss in </w:t>
      </w:r>
      <w:proofErr w:type="spellStart"/>
      <w:r w:rsidR="00ED4420" w:rsidRPr="00724B6F">
        <w:rPr>
          <w:rFonts w:ascii="Arial" w:hAnsi="Arial" w:cs="Arial"/>
          <w:b/>
          <w:sz w:val="18"/>
          <w:szCs w:val="18"/>
        </w:rPr>
        <w:t>EGFRI</w:t>
      </w:r>
      <w:proofErr w:type="spellEnd"/>
      <w:r w:rsidR="00ED4420" w:rsidRPr="00724B6F">
        <w:rPr>
          <w:rFonts w:ascii="Arial" w:hAnsi="Arial" w:cs="Arial"/>
          <w:b/>
          <w:sz w:val="18"/>
          <w:szCs w:val="18"/>
        </w:rPr>
        <w:t>-related clinical trials.</w:t>
      </w:r>
    </w:p>
    <w:tbl>
      <w:tblPr>
        <w:tblStyle w:val="a9"/>
        <w:tblW w:w="0" w:type="auto"/>
        <w:tblLook w:val="04A0" w:firstRow="1" w:lastRow="0" w:firstColumn="1" w:lastColumn="0" w:noHBand="0" w:noVBand="1"/>
      </w:tblPr>
      <w:tblGrid>
        <w:gridCol w:w="2552"/>
        <w:gridCol w:w="3544"/>
        <w:gridCol w:w="1134"/>
        <w:gridCol w:w="1066"/>
      </w:tblGrid>
      <w:tr w:rsidR="007F3792" w:rsidRPr="00724B6F" w:rsidTr="007F3792">
        <w:tc>
          <w:tcPr>
            <w:tcW w:w="2552" w:type="dxa"/>
            <w:vMerge w:val="restart"/>
            <w:tcBorders>
              <w:left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EGFR inhibitors</w:t>
            </w:r>
          </w:p>
        </w:tc>
        <w:tc>
          <w:tcPr>
            <w:tcW w:w="3544" w:type="dxa"/>
            <w:vMerge w:val="restart"/>
            <w:tcBorders>
              <w:left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Trial</w:t>
            </w:r>
          </w:p>
        </w:tc>
        <w:tc>
          <w:tcPr>
            <w:tcW w:w="2200" w:type="dxa"/>
            <w:gridSpan w:val="2"/>
            <w:tcBorders>
              <w:left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Weight loss (%)</w:t>
            </w:r>
          </w:p>
        </w:tc>
      </w:tr>
      <w:tr w:rsidR="007F3792" w:rsidRPr="00724B6F" w:rsidTr="007F3792">
        <w:tc>
          <w:tcPr>
            <w:tcW w:w="2552" w:type="dxa"/>
            <w:vMerge/>
            <w:tcBorders>
              <w:left w:val="nil"/>
              <w:bottom w:val="single" w:sz="4" w:space="0" w:color="auto"/>
              <w:right w:val="nil"/>
            </w:tcBorders>
            <w:vAlign w:val="center"/>
          </w:tcPr>
          <w:p w:rsidR="007F3792" w:rsidRPr="00724B6F" w:rsidRDefault="007F3792" w:rsidP="00147446">
            <w:pPr>
              <w:jc w:val="center"/>
              <w:rPr>
                <w:rFonts w:ascii="Arial" w:hAnsi="Arial" w:cs="Arial"/>
                <w:sz w:val="20"/>
                <w:szCs w:val="20"/>
              </w:rPr>
            </w:pPr>
          </w:p>
        </w:tc>
        <w:tc>
          <w:tcPr>
            <w:tcW w:w="3544" w:type="dxa"/>
            <w:vMerge/>
            <w:tcBorders>
              <w:left w:val="nil"/>
              <w:bottom w:val="single" w:sz="4" w:space="0" w:color="auto"/>
              <w:right w:val="nil"/>
            </w:tcBorders>
            <w:vAlign w:val="center"/>
          </w:tcPr>
          <w:p w:rsidR="007F3792" w:rsidRPr="00724B6F" w:rsidRDefault="007F3792" w:rsidP="00147446">
            <w:pPr>
              <w:jc w:val="center"/>
              <w:rPr>
                <w:rFonts w:ascii="Arial" w:hAnsi="Arial" w:cs="Arial"/>
                <w:sz w:val="20"/>
                <w:szCs w:val="20"/>
              </w:rPr>
            </w:pPr>
          </w:p>
        </w:tc>
        <w:tc>
          <w:tcPr>
            <w:tcW w:w="1134" w:type="dxa"/>
            <w:tcBorders>
              <w:left w:val="nil"/>
              <w:bottom w:val="single" w:sz="4" w:space="0" w:color="auto"/>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All grade</w:t>
            </w:r>
          </w:p>
        </w:tc>
        <w:tc>
          <w:tcPr>
            <w:tcW w:w="1066" w:type="dxa"/>
            <w:tcBorders>
              <w:left w:val="nil"/>
              <w:bottom w:val="single" w:sz="4" w:space="0" w:color="auto"/>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Grade≥3</w:t>
            </w:r>
            <w:proofErr w:type="spellEnd"/>
          </w:p>
        </w:tc>
      </w:tr>
      <w:tr w:rsidR="007F3792" w:rsidRPr="00724B6F" w:rsidTr="007F3792">
        <w:tc>
          <w:tcPr>
            <w:tcW w:w="2552" w:type="dxa"/>
            <w:tcBorders>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Afatinib</w:t>
            </w:r>
            <w:proofErr w:type="spellEnd"/>
          </w:p>
        </w:tc>
        <w:tc>
          <w:tcPr>
            <w:tcW w:w="3544" w:type="dxa"/>
            <w:tcBorders>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LUX-Lung 3</w:t>
            </w:r>
            <w:r w:rsidRPr="00724B6F">
              <w:rPr>
                <w:rFonts w:ascii="Arial" w:hAnsi="Arial" w:cs="Arial"/>
                <w:sz w:val="20"/>
                <w:szCs w:val="20"/>
              </w:rPr>
              <w:fldChar w:fldCharType="begin" w:fldLock="1"/>
            </w:r>
            <w:r>
              <w:rPr>
                <w:rFonts w:ascii="Arial" w:hAnsi="Arial" w:cs="Arial"/>
                <w:sz w:val="20"/>
                <w:szCs w:val="20"/>
              </w:rPr>
              <w:instrText>ADDIN CSL_CITATION {"citationItems":[{"id":"ITEM-1","itemData":{"DOI":"10.1200/JCO.2012.44.2806","ISSN":"15277755","PMID":"23816960","abstract":"Purpose The LUX-Lung 3 study investigated the efficacy of chemotherapy compared with afatinib, a selective, orally bioavailable ErbB family blocker that irreversibly blocks signaling from epidermal growth factor receptor (EGFR/ErbB1), human epidermal growth factor receptor 2 (HER2/ErbB2), and ErbB4 and has wide-spectrum preclinical activity against EGFR mutations. A phase II study of afatinib in EGFR mutation-positive lung adenocarcinoma demonstrated high response rates and progression-free survival (PFS). Patients and Methods In this phase III study, eligible patients with stage IIIB/IV lung adenocarcinoma were screened for EGFR mutations. Mutation-positive patients were stratified by mutation type (exon 19 deletion, L858R, or other) and race (Asian or non-Asian) before two-to-one random assignment to 40 mg afatinib per day or up to six cycles of cisplatin plus pemetrexed chemotherapy at standard doses every 21 days. The primary end point was PFS by independent review. Secondary end points included tumor response, overall survival, adverse events, and patient-reported outcomes (PROs). Results A total of 1,269 patients were screened, and 345 were randomly assigned to treatment. Median PFS was 11.1 months for afatinib and 6.9 months for chemotherapy (hazard ratio [HR], 0.58; 95% CI, 0.43 to 0.78; P = .001). Median PFS among those with exon 19 deletions and L858R EGFR mutations (n = 308) was 13.6 months for afatinib and 6.9 months for chemotherapy (HR, 0.47; 95% CI, 0.34 to 0.65; P = .001). The most common treatmentrelated adverse events were diarrhea, rash/acne, and stomatitis for afatinib and nausea, fatigue, and decreased appetite for chemotherapy. PROs favored afatinib, with better control of cough, dyspnea, and pain. Conclusion Afatinib is associated with prolongation of PFS when compared with standard doublet chemotherapy in patients with advanced lung adenocarcinoma and EGFR mutations. © 2013 by American Society of Clinical Oncology.","author":[{"dropping-particle":"V.","family":"Sequist","given":"Lecia","non-dropping-particle":"","parse-names":false,"suffix":""},{"dropping-particle":"","family":"Yang","given":"James Chih Hsin","non-dropping-particle":"","parse-names":false,"suffix":""},{"dropping-particle":"","family":"Yamamoto","given":"Nobuyuki","non-dropping-particle":"","parse-names":false,"suffix":""},{"dropping-particle":"","family":"O'Byrne","given":"Kenneth","non-dropping-particle":"","parse-names":false,"suffix":""},{"dropping-particle":"","family":"Hirsh","given":"Vera","non-dropping-particle":"","parse-names":false,"suffix":""},{"dropping-particle":"","family":"Mok","given":"Tony","non-dropping-particle":"","parse-names":false,"suffix":""},{"dropping-particle":"","family":"Geater","given":"Sarayut Lucien","non-dropping-particle":"","parse-names":false,"suffix":""},{"dropping-particle":"","family":"Orlov","given":"Sergey","non-dropping-particle":"","parse-names":false,"suffix":""},{"dropping-particle":"","family":"Tsai","given":"Chun Ming","non-dropping-particle":"","parse-names":false,"suffix":""},{"dropping-particle":"","family":"Boyer","given":"Michael","non-dropping-particle":"","parse-names":false,"suffix":""},{"dropping-particle":"","family":"Su","given":"Wu Chou","non-dropping-particle":"","parse-names":false,"suffix":""},{"dropping-particle":"","family":"Bennouna","given":"Jaafar","non-dropping-particle":"","parse-names":false,"suffix":""},{"dropping-particle":"","family":"Kato","given":"Terufumi","non-dropping-particle":"","parse-names":false,"suffix":""},{"dropping-particle":"","family":"Gorbunova","given":"Vera","non-dropping-particle":"","parse-names":false,"suffix":""},{"dropping-particle":"","family":"Lee","given":"Ki Hyeong","non-dropping-particle":"","parse-names":false,"suffix":""},{"dropping-particle":"","family":"Shah","given":"Riyaz","non-dropping-particle":"","parse-names":false,"suffix":""},{"dropping-particle":"","family":"Massey","given":"Dan","non-dropping-particle":"","parse-names":false,"suffix":""},{"dropping-particle":"","family":"Zazulina","given":"Victoria","non-dropping-particle":"","parse-names":false,"suffix":""},{"dropping-particle":"","family":"Shahidi","given":"Mehdi","non-dropping-particle":"","parse-names":false,"suffix":""},{"dropping-particle":"","family":"Schuler","given":"Martin","non-dropping-particle":"","parse-names":false,"suffix":""}],"container-title":"Journal of Clinical Oncology","id":"ITEM-1","issue":"27","issued":{"date-parts":[["2013"]]},"note":"LUX-LUNG3","page":"3327-3334","title":"Phase III study of afatinib or cisplatin plus pemetrexed in patients with metastatic lung adenocarcinoma with EGFR mutations","type":"article-journal","volume":"31"},"uris":["http://www.mendeley.com/documents/?uuid=cbdffb5d-d110-4fbc-b481-51c85a47b316"]}],"mendeley":{"formattedCitation":"(Sequist et al., 2013)","plainTextFormattedCitation":"(Sequist et al., 2013)","previouslyFormattedCitation":"&lt;sup&gt;1&lt;/sup&gt;"},"properties":{"noteIndex":0},"schema":"https://github.com/citation-style-language/schema/raw/master/csl-citation.json"}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(Sequist et al., 2013)</w:t>
            </w:r>
            <w:r w:rsidRPr="00724B6F">
              <w:rPr>
                <w:rFonts w:ascii="Arial" w:hAnsi="Arial" w:cs="Arial"/>
                <w:sz w:val="20"/>
                <w:szCs w:val="20"/>
              </w:rPr>
              <w:fldChar w:fldCharType="end"/>
            </w:r>
          </w:p>
        </w:tc>
        <w:tc>
          <w:tcPr>
            <w:tcW w:w="1134" w:type="dxa"/>
            <w:tcBorders>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17</w:t>
            </w:r>
          </w:p>
        </w:tc>
        <w:tc>
          <w:tcPr>
            <w:tcW w:w="1066" w:type="dxa"/>
            <w:tcBorders>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1</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Erlotinib</w:t>
            </w:r>
            <w:proofErr w:type="spellEnd"/>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SATURN</w:t>
            </w:r>
            <w:r w:rsidRPr="00724B6F">
              <w:rPr>
                <w:rFonts w:ascii="Arial" w:hAnsi="Arial" w:cs="Arial"/>
                <w:sz w:val="20"/>
                <w:szCs w:val="20"/>
              </w:rPr>
              <w:fldChar w:fldCharType="begin" w:fldLock="1"/>
            </w:r>
            <w:r>
              <w:rPr>
                <w:rFonts w:ascii="Arial" w:hAnsi="Arial" w:cs="Arial"/>
                <w:sz w:val="20"/>
                <w:szCs w:val="20"/>
              </w:rPr>
              <w:instrText>ADDIN CSL_CITATION {"citationItems":[{"id":"ITEM-1","itemData":{"container-title":"The U.S. Food and Drug Administration (FDA)","id":"ITEM-1","issued":{"date-parts":[["2010"]]},"note":"Erlotinib 3.9%","title":"Drug Approval Package: Tarceva (Erlotinib) NDA # 021743","type":"article-journal"},"uris":["http://www.mendeley.com/documents/?uuid=27816487-0e82-43e5-a5d1-55d283d70d6f"]}],"mendeley":{"formattedCitation":"(“Drug Approval Package: Tarceva (Erlotinib) NDA # 021743,” 2010)","plainTextFormattedCitation":"(“Drug Approval Package: Tarceva (Erlotinib) NDA # 021743,” 2010)","previouslyFormattedCitation":"&lt;sup&gt;2&lt;/sup&gt;"},"properties":{"noteIndex":0},"schema":"https://github.com/citation-style-language/schema/raw/master/csl-citation.json"}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(“Drug Approval Package: Tarceva (Erlotinib) NDA # 021743,” 2010)</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3.9</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w:t>
            </w:r>
            <w:r w:rsidRPr="00724B6F">
              <w:rPr>
                <w:rFonts w:ascii="Arial" w:hAnsi="Arial" w:cs="Arial"/>
                <w:sz w:val="20"/>
                <w:szCs w:val="20"/>
              </w:rPr>
              <w:t>1</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Erlotinib</w:t>
            </w:r>
            <w:proofErr w:type="spellEnd"/>
            <w:r w:rsidRPr="00724B6F">
              <w:rPr>
                <w:rFonts w:ascii="Arial" w:hAnsi="Arial" w:cs="Arial"/>
                <w:sz w:val="20"/>
                <w:szCs w:val="20"/>
              </w:rPr>
              <w:t xml:space="preserve"> plus gemcitabine</w:t>
            </w:r>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NCIC</w:t>
            </w:r>
            <w:proofErr w:type="spellEnd"/>
            <w:r w:rsidRPr="00724B6F">
              <w:rPr>
                <w:rFonts w:ascii="Arial" w:hAnsi="Arial" w:cs="Arial"/>
                <w:sz w:val="20"/>
                <w:szCs w:val="20"/>
              </w:rPr>
              <w:t xml:space="preserve"> </w:t>
            </w:r>
            <w:proofErr w:type="spellStart"/>
            <w:r w:rsidRPr="00724B6F">
              <w:rPr>
                <w:rFonts w:ascii="Arial" w:hAnsi="Arial" w:cs="Arial"/>
                <w:sz w:val="20"/>
                <w:szCs w:val="20"/>
              </w:rPr>
              <w:t>CTG</w:t>
            </w:r>
            <w:proofErr w:type="spellEnd"/>
            <w:r w:rsidRPr="00724B6F">
              <w:rPr>
                <w:rFonts w:ascii="Arial" w:hAnsi="Arial" w:cs="Arial"/>
                <w:sz w:val="20"/>
                <w:szCs w:val="20"/>
              </w:rPr>
              <w:t xml:space="preserve"> </w:t>
            </w:r>
            <w:proofErr w:type="spellStart"/>
            <w:r w:rsidRPr="00724B6F">
              <w:rPr>
                <w:rFonts w:ascii="Arial" w:hAnsi="Arial" w:cs="Arial"/>
                <w:sz w:val="20"/>
                <w:szCs w:val="20"/>
              </w:rPr>
              <w:t>PA.3</w:t>
            </w:r>
            <w:proofErr w:type="spellEnd"/>
            <w:r w:rsidRPr="00724B6F">
              <w:rPr>
                <w:rFonts w:ascii="Arial" w:hAnsi="Arial" w:cs="Arial"/>
                <w:sz w:val="20"/>
                <w:szCs w:val="20"/>
              </w:rPr>
              <w:fldChar w:fldCharType="begin" w:fldLock="1"/>
            </w:r>
            <w:r>
              <w:rPr>
                <w:rFonts w:ascii="Arial" w:hAnsi="Arial" w:cs="Arial"/>
                <w:sz w:val="20"/>
                <w:szCs w:val="20"/>
              </w:rPr>
              <w:instrText>ADDIN CSL_CITATION {"citationItems":[{"id":"ITEM-1","itemData":{"container-title":"The U.S. Food and Drug Administration (FDA)","id":"ITEM-1","issued":{"date-parts":[["2010"]]},"note":"Erlotinib 3.9%","title":"Drug Approval Package: Tarceva (Erlotinib) NDA # 021743","type":"article-journal"},"uris":["http://www.mendeley.com/documents/?uuid=27816487-0e82-43e5-a5d1-55d283d70d6f"]}],"mendeley":{"formattedCitation":"(“Drug Approval Package: Tarceva (Erlotinib) NDA # 021743,” 2010)","plainTextFormattedCitation":"(“Drug Approval Package: Tarceva (Erlotinib) NDA # 021743,” 2010)","previouslyFormattedCitation":"&lt;sup&gt;2&lt;/sup&gt;"},"properties":{"noteIndex":0},"schema":"https://github.com/citation-style-language/schema/raw/master/csl-citation.json"}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(“Drug Approval Package: Tarceva (Erlotinib) NDA # 021743,” 2010)</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39</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2</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Gefitinib</w:t>
            </w:r>
            <w:proofErr w:type="spellEnd"/>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ARCHER 1050</w:t>
            </w:r>
            <w:r w:rsidRPr="00724B6F">
              <w:rPr>
                <w:rFonts w:ascii="Arial" w:hAnsi="Arial" w:cs="Arial"/>
                <w:sz w:val="20"/>
                <w:szCs w:val="20"/>
              </w:rPr>
              <w:fldChar w:fldCharType="begin" w:fldLock="1"/>
            </w:r>
            <w:r>
              <w:rPr>
                <w:rFonts w:ascii="Arial" w:hAnsi="Arial" w:cs="Arial"/>
                <w:sz w:val="20"/>
                <w:szCs w:val="20"/>
              </w:rPr>
              <w:instrText>ADDIN CSL_CITATION {"citationItems":[{"id":"ITEM-1","itemData":{"DOI":"https://doi.org/10.1016/S1470-2045(17)30608-3","ISSN":"1470-2045","abstract":"Summary Background Dacomitinib is a second-generation, irreversible EGFR tyrosine kinase inhibitor. We compared its efficacy and safety with that of the reversible EGFR tyrosine kinase inhibitor gefitinib in the first-line treatment of patients with advanced EGFR-mutation-positive non-small-cell lung cancer (NSCLC). Methods In this international, multicentre,</w:instrText>
            </w:r>
            <w:r>
              <w:rPr>
                <w:rFonts w:ascii="Arial" w:hAnsi="Arial" w:cs="Arial" w:hint="eastAsia"/>
                <w:sz w:val="20"/>
                <w:szCs w:val="20"/>
              </w:rPr>
              <w:instrText xml:space="preserve"> randomised, open-label, phase 3 study (ARCHER 1050), we enrolled adults (aged </w:instrText>
            </w:r>
            <w:r>
              <w:rPr>
                <w:rFonts w:ascii="Arial" w:hAnsi="Arial" w:cs="Arial" w:hint="eastAsia"/>
                <w:sz w:val="20"/>
                <w:szCs w:val="20"/>
              </w:rPr>
              <w:instrText>≥</w:instrText>
            </w:r>
            <w:r>
              <w:rPr>
                <w:rFonts w:ascii="Arial" w:hAnsi="Arial" w:cs="Arial" w:hint="eastAsia"/>
                <w:sz w:val="20"/>
                <w:szCs w:val="20"/>
              </w:rPr>
              <w:instrText xml:space="preserve">18 years or </w:instrText>
            </w:r>
            <w:r>
              <w:rPr>
                <w:rFonts w:ascii="Arial" w:hAnsi="Arial" w:cs="Arial" w:hint="eastAsia"/>
                <w:sz w:val="20"/>
                <w:szCs w:val="20"/>
              </w:rPr>
              <w:instrText>≥</w:instrText>
            </w:r>
            <w:r>
              <w:rPr>
                <w:rFonts w:ascii="Arial" w:hAnsi="Arial" w:cs="Arial" w:hint="eastAsia"/>
                <w:sz w:val="20"/>
                <w:szCs w:val="20"/>
              </w:rPr>
              <w:instrText>20 years in Japan and South Korea) with newly diagnosed advanced NSCLC and one EGFR mutation (exon 19 deletion or Leu858Arg) at 71 academic medical centres and un</w:instrText>
            </w:r>
            <w:r>
              <w:rPr>
                <w:rFonts w:ascii="Arial" w:hAnsi="Arial" w:cs="Arial"/>
                <w:sz w:val="20"/>
                <w:szCs w:val="20"/>
              </w:rPr>
              <w:instrText>iversity hospitals in seven countries or special administrative regions. We randomly assigned participants (1:1) to receive oral dacomitinib 45 mg/day (in 28-day cycles) or oral gefitinib 250 mg/day (in 28-day cycles) until disease progression or another discontinuation criterion was met. Randomisation, stratified by race and EGFR mutation type, was done with a computer-generated random code assigned by a central interactive web response system. The primary endpoint was progression-free survival assessed by masked independent review in the intention-to-treat population. Safety was assessed in all patients who received at least one dose of study treatment. This study is registered with ClinicalTrials.gov, number NCT01774721, and is ongoing but no longer recruiting patients. Findings Between May 9, 2013, and March 20, 2015, 452 eligible patients were randomly assigned to receive dacomitinib (n=227) or gefitinib (n=225). Median duration of follow-up for progression-free survival was 22·1 months (95% CI 20·3–23·9). Median progression-free survival according to masked independent review was 14·7 months (95% CI 11·1–16·6) in the dacomitinib group and 9·2 months (9·1–11·0) in the gefitinib group (hazard ratio 0·59, 95% CI 0·47–0·74; p&lt;0·0001). The most common grade 3–4 adverse events were dermatitis acneiform (31 [14%] of 227 patients given dacomitinib vs none of 224 patients given gefitinib), diarrhoea (19 [8%] vs two [1%]), and raised alanine aminotransferase levels (two [1%] vs 19 [8%]). Treatment-related serious adverse events were reported in 21 (9%) patients given dacomitinib and in ten (4%) patients given gefitinib. Two treatment-related deaths occurred in the dacomitinib group (one related to untreated diarrhoea and one to untreated cholelithases/liver disease) and one in the gefitinib group (related to sigmoid colon diverticulitis/rupture complica…","author":[{"dropping-particle":"","family":"Wu","given":"Yi-Long","non-dropping-particle":"","parse-names":false,"suffix":""},{"dropping-particle":"","family":"Cheng","given":"Ying","non-dropping-particle":"","parse-names":false,"suffix":""},{"dropping-particle":"","family":"Zhou","given":"Xiangdong","non-dropping-particle":"","parse-names":false,"suffix":""},{"dropping-particle":"","family":"Lee","given":"Ki Hyeong","non-dropping-particle":"","parse-names":false,"suffix":""},{"dropping-particle":"","family":"Nakagawa","given":"Kazuhiko","non-dropping-particle":"","parse-names":false,"suffix":""},{"dropping-particle":"","family":"Niho","given":"Seiji","non-dropping-particle":"","parse-names":false,"suffix":""},{"dropping-particle":"","family":"Tsuji","given":"Fumito","non-dropping-particle":"","parse-names":false,"suffix":""},{"dropping-particle":"","family":"Linke","given":"Rolf","non-dropping-particle":"","parse-names":false,"suffix":""},{"dropping-particle":"","family":"Rosell","given":"Rafael","non-dropping-particle":"","parse-names":false,"suffix":""},{"dropping-particle":"","family":"Corral","given":"Jesus","non-dropping-particle":"","parse-names":false,"suffix":""},{"dropping-particle":"","family":"Migliorino","given":"Maria Rita","non-dropping-particle":"","parse-names":false,"suffix":""},{"dropping-particle":"","family":"Pluzanski","given":"Adam","non-dropping-particle":"","parse-names":false,"suffix":""},{"dropping-particle":"","family":"Sbar","given":"Eric I","non-dropping-particle":"","parse-names":false,"suffix":""},{"dropping-particle":"","family":"Wang","given":"Tao","non-dropping-particle":"","parse-names":false,"suffix":""},{"dropping-particle":"","family":"White","given":"Jane Liang","non-dropping-particle":"","parse-names":false,"suffix":""},{"dropping-particle":"","family":"Nadanaciva","given":"Sashi","non-dropping-particle":"","parse-names":false,"suffix":""},{"dropping-particle":"","family":"Sandin","given":"Rickard","non-dropping-particle":"","parse-names":false,"suffix":""},{"dropping-particle":"","family":"Mok","given":"Tony S","non-dropping-particle":"","parse-names":false,"suffix":""}],"container-title":"The Lancet Oncology","id":"ITEM-1","issue":"11","issued":{"date-parts":[["2017"]]},"note":"ARCHER 1050","page":"1454-1466","title":"Dacomitinib versus gefitinib as first-line treatment for patients with EGFR-mutation-positive non-small-cell lung cancer (ARCHER 1050): a randomised, open-label, phase 3 trial","type":"article-journal","volume":"18"},"uris":["http://www.mendeley.com/documents/?uuid=b88820c1-3d9a-4a5c-9db7-de754290d144"]}],"mendeley":{"formattedCitation":"(Wu et al., 2017)","plainTextFormattedCitation":"(Wu et al., 2017)","previouslyFormattedCitation":"&lt;sup&gt;3&lt;/sup&gt;"},"properties":{"noteIndex":0},"schema":"https://github.com/citation-style-language/schema/raw/master/csl-citation.json"}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(Wu et al., 2017)</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17</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0.4</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Dacomtinib</w:t>
            </w:r>
            <w:proofErr w:type="spellEnd"/>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ARCHER 1050</w:t>
            </w:r>
            <w:r w:rsidRPr="00724B6F">
              <w:rPr>
                <w:rFonts w:ascii="Arial" w:hAnsi="Arial" w:cs="Arial"/>
                <w:sz w:val="20"/>
                <w:szCs w:val="20"/>
              </w:rPr>
              <w:fldChar w:fldCharType="begin" w:fldLock="1"/>
            </w:r>
            <w:r>
              <w:rPr>
                <w:rFonts w:ascii="Arial" w:hAnsi="Arial" w:cs="Arial"/>
                <w:sz w:val="20"/>
                <w:szCs w:val="20"/>
              </w:rPr>
              <w:instrText>ADDIN CSL_CITATION {"citationItems":[{"id":"ITEM-1","itemData":{"DOI":"https://doi.org/10.1016/S1470-2045(17)30608-3","ISSN":"1470-2045","abstract":"Summary Background Dacomitinib is a second-generation, irreversible EGFR tyrosine kinase inhibitor. We compared its efficacy and safety with that of the reversible EGFR tyrosine kinase inhibitor gefitinib in the first-line treatment of patients with advanced EGFR-mutation-positive non-small-cell lung cancer (NSCLC). Methods In this international, multicentre,</w:instrText>
            </w:r>
            <w:r>
              <w:rPr>
                <w:rFonts w:ascii="Arial" w:hAnsi="Arial" w:cs="Arial" w:hint="eastAsia"/>
                <w:sz w:val="20"/>
                <w:szCs w:val="20"/>
              </w:rPr>
              <w:instrText xml:space="preserve"> randomised, open-label, phase 3 study (ARCHER 1050), we enrolled adults (aged </w:instrText>
            </w:r>
            <w:r>
              <w:rPr>
                <w:rFonts w:ascii="Arial" w:hAnsi="Arial" w:cs="Arial" w:hint="eastAsia"/>
                <w:sz w:val="20"/>
                <w:szCs w:val="20"/>
              </w:rPr>
              <w:instrText>≥</w:instrText>
            </w:r>
            <w:r>
              <w:rPr>
                <w:rFonts w:ascii="Arial" w:hAnsi="Arial" w:cs="Arial" w:hint="eastAsia"/>
                <w:sz w:val="20"/>
                <w:szCs w:val="20"/>
              </w:rPr>
              <w:instrText xml:space="preserve">18 years or </w:instrText>
            </w:r>
            <w:r>
              <w:rPr>
                <w:rFonts w:ascii="Arial" w:hAnsi="Arial" w:cs="Arial" w:hint="eastAsia"/>
                <w:sz w:val="20"/>
                <w:szCs w:val="20"/>
              </w:rPr>
              <w:instrText>≥</w:instrText>
            </w:r>
            <w:r>
              <w:rPr>
                <w:rFonts w:ascii="Arial" w:hAnsi="Arial" w:cs="Arial" w:hint="eastAsia"/>
                <w:sz w:val="20"/>
                <w:szCs w:val="20"/>
              </w:rPr>
              <w:instrText>20 years in Japan and South Korea) with newly diagnosed advanced NSCLC and one EGFR mutation (exon 19 deletion or Leu858Arg) at 71 academic medical centres and un</w:instrText>
            </w:r>
            <w:r>
              <w:rPr>
                <w:rFonts w:ascii="Arial" w:hAnsi="Arial" w:cs="Arial"/>
                <w:sz w:val="20"/>
                <w:szCs w:val="20"/>
              </w:rPr>
              <w:instrText>iversity hospitals in seven countries or special administrative regions. We randomly assigned participants (1:1) to receive oral dacomitinib 45 mg/day (in 28-day cycles) or oral gefitinib 250 mg/day (in 28-day cycles) until disease progression or another discontinuation criterion was met. Randomisation, stratified by race and EGFR mutation type, was done with a computer-generated random code assigned by a central interactive web response system. The primary endpoint was progression-free survival assessed by masked independent review in the intention-to-treat population. Safety was assessed in all patients who received at least one dose of study treatment. This study is registered with ClinicalTrials.gov, number NCT01774721, and is ongoing but no longer recruiting patients. Findings Between May 9, 2013, and March 20, 2015, 452 eligible patients were randomly assigned to receive dacomitinib (n=227) or gefitinib (n=225). Median duration of follow-up for progression-free survival was 22·1 months (95% CI 20·3–23·9). Median progression-free survival according to masked independent review was 14·7 months (95% CI 11·1–16·6) in the dacomitinib group and 9·2 months (9·1–11·0) in the gefitinib group (hazard ratio 0·59, 95% CI 0·47–0·74; p&lt;0·0001). The most common grade 3–4 adverse events were dermatitis acneiform (31 [14%] of 227 patients given dacomitinib vs none of 224 patients given gefitinib), diarrhoea (19 [8%] vs two [1%]), and raised alanine aminotransferase levels (two [1%] vs 19 [8%]). Treatment-related serious adverse events were reported in 21 (9%) patients given dacomitinib and in ten (4%) patients given gefitinib. Two treatment-related deaths occurred in the dacomitinib group (one related to untreated diarrhoea and one to untreated cholelithases/liver disease) and one in the gefitinib group (related to sigmoid colon diverticulitis/rupture complica…","author":[{"dropping-particle":"","family":"Wu","given":"Yi-Long","non-dropping-particle":"","parse-names":false,"suffix":""},{"dropping-particle":"","family":"Cheng","given":"Ying","non-dropping-particle":"","parse-names":false,"suffix":""},{"dropping-particle":"","family":"Zhou","given":"Xiangdong","non-dropping-particle":"","parse-names":false,"suffix":""},{"dropping-particle":"","family":"Lee","given":"Ki Hyeong","non-dropping-particle":"","parse-names":false,"suffix":""},{"dropping-particle":"","family":"Nakagawa","given":"Kazuhiko","non-dropping-particle":"","parse-names":false,"suffix":""},{"dropping-particle":"","family":"Niho","given":"Seiji","non-dropping-particle":"","parse-names":false,"suffix":""},{"dropping-particle":"","family":"Tsuji","given":"Fumito","non-dropping-particle":"","parse-names":false,"suffix":""},{"dropping-particle":"","family":"Linke","given":"Rolf","non-dropping-particle":"","parse-names":false,"suffix":""},{"dropping-particle":"","family":"Rosell","given":"Rafael","non-dropping-particle":"","parse-names":false,"suffix":""},{"dropping-particle":"","family":"Corral","given":"Jesus","non-dropping-particle":"","parse-names":false,"suffix":""},{"dropping-particle":"","family":"Migliorino","given":"Maria Rita","non-dropping-particle":"","parse-names":false,"suffix":""},{"dropping-particle":"","family":"Pluzanski","given":"Adam","non-dropping-particle":"","parse-names":false,"suffix":""},{"dropping-particle":"","family":"Sbar","given":"Eric I","non-dropping-particle":"","parse-names":false,"suffix":""},{"dropping-particle":"","family":"Wang","given":"Tao","non-dropping-particle":"","parse-names":false,"suffix":""},{"dropping-particle":"","family":"White","given":"Jane Liang","non-dropping-particle":"","parse-names":false,"suffix":""},{"dropping-particle":"","family":"Nadanaciva","given":"Sashi","non-dropping-particle":"","parse-names":false,"suffix":""},{"dropping-particle":"","family":"Sandin","given":"Rickard","non-dropping-particle":"","parse-names":false,"suffix":""},{"dropping-particle":"","family":"Mok","given":"Tony S","non-dropping-particle":"","parse-names":false,"suffix":""}],"container-title":"The Lancet Oncology","id":"ITEM-1","issue":"11","issued":{"date-parts":[["2017"]]},"note":"ARCHER 1050","page":"1454-1466","title":"Dacomitinib versus gefitinib as first-line treatment for patients with EGFR-mutation-positive non-small-cell lung cancer (ARCHER 1050): a randomised, open-label, phase 3 trial","type":"article-journal","volume":"18"},"uris":["http://www.mendeley.com/documents/?uuid=b88820c1-3d9a-4a5c-9db7-de754290d144"]}],"mendeley":{"formattedCitation":"(Wu et al., 2017)","plainTextFormattedCitation":"(Wu et al., 2017)","previouslyFormattedCitation":"&lt;sup&gt;3&lt;/sup&gt;"},"properties":{"noteIndex":0},"schema":"https://github.com/citation-style-language/schema/raw/master/csl-citation.json"}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(Wu et al., 2017)</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26</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2.2</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Neratinib</w:t>
            </w:r>
            <w:proofErr w:type="spellEnd"/>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ExteNET</w:t>
            </w:r>
            <w:proofErr w:type="spellEnd"/>
            <w:r w:rsidRPr="00724B6F">
              <w:rPr>
                <w:rFonts w:ascii="Arial" w:hAnsi="Arial" w:cs="Arial"/>
                <w:sz w:val="20"/>
                <w:szCs w:val="20"/>
              </w:rPr>
              <w:fldChar w:fldCharType="begin" w:fldLock="1"/>
            </w:r>
            <w:r>
              <w:rPr>
                <w:rFonts w:ascii="Arial" w:hAnsi="Arial" w:cs="Arial"/>
                <w:sz w:val="20"/>
                <w:szCs w:val="20"/>
              </w:rPr>
              <w:instrText>ADDIN CSL_CITATION {"citationItems":[{"id":"ITEM-1","itemData":{"DOI":"10.1186/s13058-019-1112-5","ISSN":"1465-542X","abstract":"We characterized patterns of occurrence and the impact of neratinib-associated diarrhea in the absence of protocol-directed antidiarrheal prophylaxis or a formal diarrhea management plan using data from Extended Adjuvant Treatment of Breast Cancer with Neratinib (ExteNET).","author":[{"dropping-particle":"","family":"Mortimer","given":"Joanne","non-dropping-particle":"","parse-names":false,"suffix":""},{"dropping-particle":"","family":"Palma","given":"Jack","non-dropping-particle":"Di","parse-names":false,"suffix":""},{"dropping-particle":"","family":"Schmid","given":"Kendra","non-dropping-particle":"","parse-names":false,"suffix":""},{"dropping-particle":"","family":"Ye","given":"Yining","non-dropping-particle":"","parse-names":false,"suffix":""},{"dropping-particle":"","family":"Jahanzeb","given":"Mohammad","non-dropping-particle":"","parse-names":false,"suffix":""}],"container-title":"Breast Cancer Research","id":"ITEM-1","issue":"1","issued":{"date-parts":[["2019"]]},"note":"ExteNET","page":"32","title":"Patterns of occurrence and implications of neratinib-associated diarrhea in patients with HER2-positive breast cancer: analyses from the randomized phase III ExteNET trial","type":"article-journal","volume":"21"},"uris":["http://www.mendeley.com/documents/?uuid=ce80768e-23f6-4176-9f07-dd3a5c64d7ca"]}],"mendeley":{"formattedCitation":"(Mortimer et al., 2019)","plainTextFormattedCitation":"(Mortimer et al., 2019)","previouslyFormattedCitation":"&lt;sup&gt;4&lt;/sup&gt;"},"properties":{"noteIndex":0},"schema":"https://github.com/citation-style-language/schema/raw/master/csl-citation.json"}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(Mortimer et al., 2019)</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4.8</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0.1</w:t>
            </w:r>
          </w:p>
        </w:tc>
      </w:tr>
      <w:tr w:rsidR="007F3792" w:rsidRPr="00724B6F" w:rsidTr="007F3792">
        <w:tc>
          <w:tcPr>
            <w:tcW w:w="2552"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Neratinib</w:t>
            </w:r>
            <w:proofErr w:type="spellEnd"/>
            <w:r w:rsidRPr="00724B6F">
              <w:rPr>
                <w:rFonts w:ascii="Arial" w:hAnsi="Arial" w:cs="Arial"/>
                <w:sz w:val="20"/>
                <w:szCs w:val="20"/>
              </w:rPr>
              <w:t xml:space="preserve"> plus </w:t>
            </w:r>
            <w:proofErr w:type="spellStart"/>
            <w:r w:rsidRPr="00724B6F">
              <w:rPr>
                <w:rFonts w:ascii="Arial" w:hAnsi="Arial" w:cs="Arial"/>
                <w:sz w:val="20"/>
                <w:szCs w:val="20"/>
              </w:rPr>
              <w:t>capecitabin</w:t>
            </w:r>
            <w:proofErr w:type="spellEnd"/>
          </w:p>
        </w:tc>
        <w:tc>
          <w:tcPr>
            <w:tcW w:w="354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NALA</w:t>
            </w:r>
            <w:proofErr w:type="spellEnd"/>
            <w:r w:rsidRPr="00724B6F">
              <w:rPr>
                <w:rFonts w:ascii="Arial" w:hAnsi="Arial" w:cs="Arial"/>
                <w:sz w:val="20"/>
                <w:szCs w:val="20"/>
              </w:rPr>
              <w:fldChar w:fldCharType="begin" w:fldLock="1"/>
            </w:r>
            <w:r>
              <w:rPr>
                <w:rFonts w:ascii="Arial" w:hAnsi="Arial" w:cs="Arial"/>
                <w:sz w:val="20"/>
                <w:szCs w:val="20"/>
              </w:rPr>
              <w:instrText>ADDIN CSL_CITATION {"citationItems":[{"id":"ITEM-1","itemData":{"DOI":"10.1200/JCO.20.00147","ISSN":"1527-7755","abstract":"PURPOSE: NALA (ClinicalTrials.gov identifier: NCT01808573) is a randomized, active-controlled, phase III trial comparing neratinib,</w:instrText>
            </w:r>
            <w:r>
              <w:rPr>
                <w:rFonts w:ascii="Arial" w:hAnsi="Arial" w:cs="Arial" w:hint="eastAsia"/>
                <w:sz w:val="20"/>
                <w:szCs w:val="20"/>
              </w:rPr>
              <w:instrText xml:space="preserve"> an irreversible pan-HER tyrosine kinase inhibitor (TKI), plus capecitabine (N+C) against lapatinib, a reversible dual TKI, plus capecitabine (L+C) in patients with centrally confirmed HER2-positive, metastatic breast cancer (MBC) with </w:instrText>
            </w:r>
            <w:r>
              <w:rPr>
                <w:rFonts w:ascii="Arial" w:hAnsi="Arial" w:cs="Arial" w:hint="eastAsia"/>
                <w:sz w:val="20"/>
                <w:szCs w:val="20"/>
              </w:rPr>
              <w:instrText>≥</w:instrText>
            </w:r>
            <w:r>
              <w:rPr>
                <w:rFonts w:ascii="Arial" w:hAnsi="Arial" w:cs="Arial" w:hint="eastAsia"/>
                <w:sz w:val="20"/>
                <w:szCs w:val="20"/>
              </w:rPr>
              <w:instrText xml:space="preserve"> 2 previous HER2-d</w:instrText>
            </w:r>
            <w:r>
              <w:rPr>
                <w:rFonts w:ascii="Arial" w:hAnsi="Arial" w:cs="Arial"/>
                <w:sz w:val="20"/>
                <w:szCs w:val="20"/>
              </w:rPr>
              <w:instrText xml:space="preserve">irected MBC regimens. METHODS: Patients, including those with stable, asymptomatic CNS disease, were randomly assigned 1:1 to neratinib (240 mg once every day) plus capecitabine (750 mg/m(2) twice a day 14 d/21 d) with loperamide prophylaxis, or to lapatinib (1,250 mg once every day) plus capecitabine (1,000 mg/m(2) twice a day 14 d/21 d). Coprimary end points were centrally confirmed progression-free survival (PFS) and overall survival (OS). NALA was considered positive if either primary end point was met (α split between end points). Secondary end points were time to CNS disease intervention, investigator-assessed PFS, objective response rate (ORR), duration of response (DoR), clinical benefit rate, safety, and health-related quality of life (HRQoL). RESULTS: A total of 621 patients from 28 countries were randomly assigned (N+C, n = 307; L+C, n = 314). Centrally reviewed PFS was improved with N+C (hazard ratio [HR], 0.76; 95% CI, 0.63 to 0.93; stratified log-rank P = .0059). The OS HR was 0.88 (95% CI, 0.72 to 1.07; P = .2098). Fewer interventions for CNS disease occurred with N+C versus L+C (cumulative incidence, 22.8% v 29.2%; P = .043). ORRs were N+C 32.8% (95% CI, 27.1 to 38.9) and L+C 26.7% (95% CI, 21.5 to 32.4; P = .1201); median DoR was 8.5 versus 5.6 months, respectively (HR, 0.50; 95% CI, 0.33 to 0.74; P = .0004). The most common all-grade adverse events were diarrhea (N+C 83% v L+C 66%) and nausea (53% v 42%). Discontinuation rates and HRQoL were similar between groups. CONCLUSION: N+C significantly improved PFS and time to intervention for CNS disease versus L+C. No new N+C safety signals were observed.","author":[{"dropping-particle":"","family":"Saura","given":"Cristina","non-dropping-particle":"","parse-names":false,"suffix":""},{"dropping-particle":"","family":"Oliveira","given":"Mafalda","non-dropping-particle":"","parse-names":false,"suffix":""},{"dropping-particle":"","family":"Feng","given":"Yin-Hsun","non-dropping-particle":"","parse-names":false,"suffix":""},{"dropping-particle":"","family":"Dai","given":"Ming-Shen","non-dropping-particle":"","parse-names":false,"suffix":""},{"dropping-particle":"","family":"Chen","given":"Shang-Wen","non-dropping-particle":"","parse-names":false,"suffix":""},{"dropping-particle":"","family":"Hurvitz","given":"Sara A","non-dropping-particle":"","parse-names":false,"suffix":""},{"dropping-particle":"","family":"Kim","given":"Sung-Bae","non-dropping-particle":"","parse-names":false,"suffix":""},{"dropping-particle":"","family":"Moy","given":"Beverly","non-dropping-particle":"","parse-names":false,"suffix":""},{"dropping-particle":"","family":"Delaloge","given":"Suzette","non-dropping-particle":"","parse-names":false,"suffix":""},{"dropping-particle":"","family":"Gradishar","given":"William","non-dropping-particle":"","parse-names":false,"suffix":""},{"dropping-particle":"","family":"Masuda","given":"Norikazu","non-dropping-particle":"","parse-names":false,"suffix":""},{"dropping-particle":"","family":"Palacova","given":"Marketa","non-dropping-particle":"","parse-names":false,"suffix":""},{"dropping-particle":"","family":"Trudeau","given":"Maureen E","non-dropping-particle":"","parse-names":false,"suffix":""},{"dropping-particle":"","family":"Mattson","given":"Johanna","non-dropping-particle":"","parse-names":false,"suffix":""},{"dropping-particle":"","family":"Yap","given":"Yoon Sim","non-dropping-particle":"","parse-names":false,"suffix":""},{"dropping-particle":"","family":"Hou","given":"Ming-Feng","non-dropping-particle":"","parse-names":false,"suffix":""},{"dropping-particle":"","family":"Laurentiis","given":"Michelino","non-dropping-particle":"De","parse-names":false,"suffix":""},{"dropping-particle":"","family":"Yeh","given":"Yu-Min","non-dropping-particle":"","parse-names":false,"suffix":""},{"dropping-particle":"","family":"Chang","given":"Hong-Tai","non-dropping-particle":"","parse-names":false,"suffix":""},{"dropping-particle":"","family":"Yau","given":"Thomas","non-dropping-particle":"","parse-names":false,"suffix":""},{"dropping-particle":"","family":"Wildiers","given":"Hans","non-dropping-particle":"","parse-names":false,"suffix":""},{"dropping-particle":"","family":"Haley","given":"Barbara","non-dropping-particle":"","parse-names":false,"suffix":""},{"dropping-particle":"","family":"Fagnani","given":"Daniele","non-dropping-particle":"","parse-names":false,"suffix":""},{"dropping-particle":"","family":"Lu","given":"Yen-Shen","non-dropping-particle":"","parse-names":false,"suffix":""},{"dropping-particle":"","family":"Crown","given":"John","non-dropping-particle":"","parse-names":false,"suffix":""},{"dropping-particle":"","family":"Lin","given":"Johnson","non-dropping-particle":"","parse-names":false,"suffix":""},{"dropping-particle":"","family":"Takahashi","given":"Masato","non-dropping-particle":"","parse-names":false,"suffix":""},{"dropping-particle":"","family":"Takano","given":"Toshimi","non-dropping-particle":"","parse-names":false,"suffix":""},{"dropping-particle":"","family":"Yamaguchi","given":"Miki","non-dropping-particle":"","parse-names":false,"suffix":""},{"dropping-particle":"","family":"Fujii","given":"Takaaki","non-dropping-particle":"","parse-names":false,"suffix":""},{"dropping-particle":"","family":"Yao","given":"Bin","non-dropping-particle":"","parse-names":false,"suffix":""},{"dropping-particle":"","family":"Bebchuk","given":"Judith","non-dropping-particle":"","parse-names":false,"suffix":""},{"dropping-particle":"","family":"Keyvanjah","given":"Kiana","non-dropping-particle":"","parse-names":false,"suffix":""},{"dropping-particle":"","family":"Bryce","given":"Richard","non-dropping-particle":"","parse-names":false,"suffix":""},{"dropping-particle":"","family":"Brufsky","given":"Adam","non-dropping-particle":"","parse-names":false,"suffix":""},{"dropping-particle":"","family":"Investigators","given":"NALA","non-dropping-particle":"","parse-names":false,"suffix":""}],"container-title":"Journal of clinical oncology : official journal of the American Society of Clinical Oncology","edition":"2020/07/17","id":"ITEM-1","issue":"27","issued":{"date-parts":[["2020","9","20"]]},"language":"eng","note":"NALA","page":"3138-3149","publisher":"American Society of Clinical Oncology","title":"Neratinib Plus Capecitabine Versus Lapatinib Plus Capecitabine in HER2-Positive Metastatic </w:instrText>
            </w:r>
            <w:r>
              <w:rPr>
                <w:rFonts w:ascii="Arial" w:hAnsi="Arial" w:cs="Arial" w:hint="eastAsia"/>
                <w:sz w:val="20"/>
                <w:szCs w:val="20"/>
              </w:rPr>
              <w:instrText xml:space="preserve">Breast Cancer Previously Treated With </w:instrText>
            </w:r>
            <w:r>
              <w:rPr>
                <w:rFonts w:ascii="Arial" w:hAnsi="Arial" w:cs="Arial" w:hint="eastAsia"/>
                <w:sz w:val="20"/>
                <w:szCs w:val="20"/>
              </w:rPr>
              <w:instrText>≥</w:instrText>
            </w:r>
            <w:r>
              <w:rPr>
                <w:rFonts w:ascii="Arial" w:hAnsi="Arial" w:cs="Arial" w:hint="eastAsia"/>
                <w:sz w:val="20"/>
                <w:szCs w:val="20"/>
              </w:rPr>
              <w:instrText xml:space="preserve"> 2 HER2-Directed Regimens: Phase III NALA Trial","type":"article-journal","volume":"38"},"uris":["http://www.mendeley.com/documents/?uuid=c2e5c806-cd46-4fff-b701-9a007cc63aaa"]}],"mendeley":{"formattedCitation":"(Sau</w:instrText>
            </w:r>
            <w:r>
              <w:rPr>
                <w:rFonts w:ascii="Arial" w:hAnsi="Arial" w:cs="Arial"/>
                <w:sz w:val="20"/>
                <w:szCs w:val="20"/>
              </w:rPr>
              <w:instrText>ra et al., 2020)","plainTextFormattedCitation":"(Saura et al., 2020)","previouslyFormattedCitation":"&lt;sup&gt;5&lt;/sup&gt;"},"properties":{"noteIndex":0},"schema":"https://github.com/citation-style-language/schema/raw/master/csl-citation.json"}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(Saura et al., 2020)</w:t>
            </w:r>
            <w:r w:rsidRPr="00724B6F">
              <w:rPr>
                <w:rFonts w:ascii="Arial" w:hAnsi="Arial" w:cs="Arial"/>
                <w:sz w:val="20"/>
                <w:szCs w:val="20"/>
              </w:rPr>
              <w:fldChar w:fldCharType="end"/>
            </w:r>
          </w:p>
        </w:tc>
        <w:tc>
          <w:tcPr>
            <w:tcW w:w="1134"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19.8</w:t>
            </w:r>
          </w:p>
        </w:tc>
        <w:tc>
          <w:tcPr>
            <w:tcW w:w="1066" w:type="dxa"/>
            <w:tcBorders>
              <w:top w:val="nil"/>
              <w:left w:val="nil"/>
              <w:bottom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0.3</w:t>
            </w:r>
          </w:p>
        </w:tc>
      </w:tr>
      <w:tr w:rsidR="007F3792" w:rsidRPr="00724B6F" w:rsidTr="007F3792">
        <w:tc>
          <w:tcPr>
            <w:tcW w:w="2552" w:type="dxa"/>
            <w:tcBorders>
              <w:top w:val="nil"/>
              <w:left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Lapatinib</w:t>
            </w:r>
            <w:proofErr w:type="spellEnd"/>
            <w:r w:rsidRPr="00724B6F">
              <w:rPr>
                <w:rFonts w:ascii="Arial" w:hAnsi="Arial" w:cs="Arial"/>
                <w:sz w:val="20"/>
                <w:szCs w:val="20"/>
              </w:rPr>
              <w:t xml:space="preserve"> plus </w:t>
            </w:r>
            <w:proofErr w:type="spellStart"/>
            <w:r w:rsidRPr="00724B6F">
              <w:rPr>
                <w:rFonts w:ascii="Arial" w:hAnsi="Arial" w:cs="Arial"/>
                <w:sz w:val="20"/>
                <w:szCs w:val="20"/>
              </w:rPr>
              <w:t>capecitabin</w:t>
            </w:r>
            <w:proofErr w:type="spellEnd"/>
          </w:p>
        </w:tc>
        <w:tc>
          <w:tcPr>
            <w:tcW w:w="3544" w:type="dxa"/>
            <w:tcBorders>
              <w:top w:val="nil"/>
              <w:left w:val="nil"/>
              <w:right w:val="nil"/>
            </w:tcBorders>
            <w:vAlign w:val="center"/>
          </w:tcPr>
          <w:p w:rsidR="007F3792" w:rsidRPr="00724B6F" w:rsidRDefault="007F3792" w:rsidP="00147446">
            <w:pPr>
              <w:jc w:val="center"/>
              <w:rPr>
                <w:rFonts w:ascii="Arial" w:hAnsi="Arial" w:cs="Arial"/>
                <w:sz w:val="20"/>
                <w:szCs w:val="20"/>
              </w:rPr>
            </w:pPr>
            <w:proofErr w:type="spellStart"/>
            <w:r w:rsidRPr="00724B6F">
              <w:rPr>
                <w:rFonts w:ascii="Arial" w:hAnsi="Arial" w:cs="Arial"/>
                <w:sz w:val="20"/>
                <w:szCs w:val="20"/>
              </w:rPr>
              <w:t>NALA</w:t>
            </w:r>
            <w:proofErr w:type="spellEnd"/>
            <w:r w:rsidRPr="00724B6F">
              <w:rPr>
                <w:rFonts w:ascii="Arial" w:hAnsi="Arial" w:cs="Arial"/>
                <w:sz w:val="20"/>
                <w:szCs w:val="20"/>
              </w:rPr>
              <w:fldChar w:fldCharType="begin" w:fldLock="1"/>
            </w:r>
            <w:r>
              <w:rPr>
                <w:rFonts w:ascii="Arial" w:hAnsi="Arial" w:cs="Arial"/>
                <w:sz w:val="20"/>
                <w:szCs w:val="20"/>
              </w:rPr>
              <w:instrText>ADDIN CSL_CITATION {"citationItems":[{"id":"ITEM-1","itemData":{"DOI":"10.1200/JCO.20.00147","ISSN":"1527-7755","abstract":"PURPOSE: NALA (ClinicalTrials.gov identifier: NCT01808573) is a randomized, active-controlled, phase III trial comparing neratinib,</w:instrText>
            </w:r>
            <w:r>
              <w:rPr>
                <w:rFonts w:ascii="Arial" w:hAnsi="Arial" w:cs="Arial" w:hint="eastAsia"/>
                <w:sz w:val="20"/>
                <w:szCs w:val="20"/>
              </w:rPr>
              <w:instrText xml:space="preserve"> an irreversible pan-HER tyrosine kinase inhibitor (TKI), plus capecitabine (N+C) against lapatinib, a reversible dual TKI, plus capecitabine (L+C) in patients with centrally confirmed HER2-positive, metastatic breast cancer (MBC) with </w:instrText>
            </w:r>
            <w:r>
              <w:rPr>
                <w:rFonts w:ascii="Arial" w:hAnsi="Arial" w:cs="Arial" w:hint="eastAsia"/>
                <w:sz w:val="20"/>
                <w:szCs w:val="20"/>
              </w:rPr>
              <w:instrText>≥</w:instrText>
            </w:r>
            <w:r>
              <w:rPr>
                <w:rFonts w:ascii="Arial" w:hAnsi="Arial" w:cs="Arial" w:hint="eastAsia"/>
                <w:sz w:val="20"/>
                <w:szCs w:val="20"/>
              </w:rPr>
              <w:instrText xml:space="preserve"> 2 previous HER2-d</w:instrText>
            </w:r>
            <w:r>
              <w:rPr>
                <w:rFonts w:ascii="Arial" w:hAnsi="Arial" w:cs="Arial"/>
                <w:sz w:val="20"/>
                <w:szCs w:val="20"/>
              </w:rPr>
              <w:instrText xml:space="preserve">irected MBC regimens. METHODS: Patients, including those with stable, asymptomatic CNS disease, were randomly assigned 1:1 to neratinib (240 mg once every day) plus capecitabine (750 mg/m(2) twice a day 14 d/21 d) with loperamide prophylaxis, or to lapatinib (1,250 mg once every day) plus capecitabine (1,000 mg/m(2) twice a day 14 d/21 d). Coprimary end points were centrally confirmed progression-free survival (PFS) and overall survival (OS). NALA was considered positive if either primary end point was met (α split between end points). Secondary end points were time to CNS disease intervention, investigator-assessed PFS, objective response rate (ORR), duration of response (DoR), clinical benefit rate, safety, and health-related quality of life (HRQoL). RESULTS: A total of 621 patients from 28 countries were randomly assigned (N+C, n = 307; L+C, n = 314). Centrally reviewed PFS was improved with N+C (hazard ratio [HR], 0.76; 95% CI, 0.63 to 0.93; stratified log-rank P = .0059). The OS HR was 0.88 (95% CI, 0.72 to 1.07; P = .2098). Fewer interventions for CNS disease occurred with N+C versus L+C (cumulative incidence, 22.8% v 29.2%; P = .043). ORRs were N+C 32.8% (95% CI, 27.1 to 38.9) and L+C 26.7% (95% CI, 21.5 to 32.4; P = .1201); median DoR was 8.5 versus 5.6 months, respectively (HR, 0.50; 95% CI, 0.33 to 0.74; P = .0004). The most common all-grade adverse events were diarrhea (N+C 83% v L+C 66%) and nausea (53% v 42%). Discontinuation rates and HRQoL were similar between groups. CONCLUSION: N+C significantly improved PFS and time to intervention for CNS disease versus L+C. No new N+C safety signals were observed.","author":[{"dropping-particle":"","family":"Saura","given":"Cristina","non-dropping-particle":"","parse-names":false,"suffix":""},{"dropping-particle":"","family":"Oliveira","given":"Mafalda","non-dropping-particle":"","parse-names":false,"suffix":""},{"dropping-particle":"","family":"Feng","given":"Yin-Hsun","non-dropping-particle":"","parse-names":false,"suffix":""},{"dropping-particle":"","family":"Dai","given":"Ming-Shen","non-dropping-particle":"","parse-names":false,"suffix":""},{"dropping-particle":"","family":"Chen","given":"Shang-Wen","non-dropping-particle":"","parse-names":false,"suffix":""},{"dropping-particle":"","family":"Hurvitz","given":"Sara A","non-dropping-particle":"","parse-names":false,"suffix":""},{"dropping-particle":"","family":"Kim","given":"Sung-Bae","non-dropping-particle":"","parse-names":false,"suffix":""},{"dropping-particle":"","family":"Moy","given":"Beverly","non-dropping-particle":"","parse-names":false,"suffix":""},{"dropping-particle":"","family":"Delaloge","given":"Suzette","non-dropping-particle":"","parse-names":false,"suffix":""},{"dropping-particle":"","family":"Gradishar","given":"William","non-dropping-particle":"","parse-names":false,"suffix":""},{"dropping-particle":"","family":"Masuda","given":"Norikazu","non-dropping-particle":"","parse-names":false,"suffix":""},{"dropping-particle":"","family":"Palacova","given":"Marketa","non-dropping-particle":"","parse-names":false,"suffix":""},{"dropping-particle":"","family":"Trudeau","given":"Maureen E","non-dropping-particle":"","parse-names":false,"suffix":""},{"dropping-particle":"","family":"Mattson","given":"Johanna","non-dropping-particle":"","parse-names":false,"suffix":""},{"dropping-particle":"","family":"Yap","given":"Yoon Sim","non-dropping-particle":"","parse-names":false,"suffix":""},{"dropping-particle":"","family":"Hou","given":"Ming-Feng","non-dropping-particle":"","parse-names":false,"suffix":""},{"dropping-particle":"","family":"Laurentiis","given":"Michelino","non-dropping-particle":"De","parse-names":false,"suffix":""},{"dropping-particle":"","family":"Yeh","given":"Yu-Min","non-dropping-particle":"","parse-names":false,"suffix":""},{"dropping-particle":"","family":"Chang","given":"Hong-Tai","non-dropping-particle":"","parse-names":false,"suffix":""},{"dropping-particle":"","family":"Yau","given":"Thomas","non-dropping-particle":"","parse-names":false,"suffix":""},{"dropping-particle":"","family":"Wildiers","given":"Hans","non-dropping-particle":"","parse-names":false,"suffix":""},{"dropping-particle":"","family":"Haley","given":"Barbara","non-dropping-particle":"","parse-names":false,"suffix":""},{"dropping-particle":"","family":"Fagnani","given":"Daniele","non-dropping-particle":"","parse-names":false,"suffix":""},{"dropping-particle":"","family":"Lu","given":"Yen-Shen","non-dropping-particle":"","parse-names":false,"suffix":""},{"dropping-particle":"","family":"Crown","given":"John","non-dropping-particle":"","parse-names":false,"suffix":""},{"dropping-particle":"","family":"Lin","given":"Johnson","non-dropping-particle":"","parse-names":false,"suffix":""},{"dropping-particle":"","family":"Takahashi","given":"Masato","non-dropping-particle":"","parse-names":false,"suffix":""},{"dropping-particle":"","family":"Takano","given":"Toshimi","non-dropping-particle":"","parse-names":false,"suffix":""},{"dropping-particle":"","family":"Yamaguchi","given":"Miki","non-dropping-particle":"","parse-names":false,"suffix":""},{"dropping-particle":"","family":"Fujii","given":"Takaaki","non-dropping-particle":"","parse-names":false,"suffix":""},{"dropping-particle":"","family":"Yao","given":"Bin","non-dropping-particle":"","parse-names":false,"suffix":""},{"dropping-particle":"","family":"Bebchuk","given":"Judith","non-dropping-particle":"","parse-names":false,"suffix":""},{"dropping-particle":"","family":"Keyvanjah","given":"Kiana","non-dropping-particle":"","parse-names":false,"suffix":""},{"dropping-particle":"","family":"Bryce","given":"Richard","non-dropping-particle":"","parse-names":false,"suffix":""},{"dropping-particle":"","family":"Brufsky","given":"Adam","non-dropping-particle":"","parse-names":false,"suffix":""},{"dropping-particle":"","family":"Investigators","given":"NALA","non-dropping-particle":"","parse-names":false,"suffix":""}],"container-title":"Journal of clinical oncology : official journal of the American Society of Clinical Oncology","edition":"2020/07/17","id":"ITEM-1","issue":"27","issued":{"date-parts":[["2020","9","20"]]},"language":"eng","note":"NALA","page":"3138-3149","publisher":"American Society of Clinical Oncology","title":"Neratinib Plus Capecitabine Versus Lapatinib Plus Capecitabine in HER2-Positive Metastatic </w:instrText>
            </w:r>
            <w:r>
              <w:rPr>
                <w:rFonts w:ascii="Arial" w:hAnsi="Arial" w:cs="Arial" w:hint="eastAsia"/>
                <w:sz w:val="20"/>
                <w:szCs w:val="20"/>
              </w:rPr>
              <w:instrText xml:space="preserve">Breast Cancer Previously Treated With </w:instrText>
            </w:r>
            <w:r>
              <w:rPr>
                <w:rFonts w:ascii="Arial" w:hAnsi="Arial" w:cs="Arial" w:hint="eastAsia"/>
                <w:sz w:val="20"/>
                <w:szCs w:val="20"/>
              </w:rPr>
              <w:instrText>≥</w:instrText>
            </w:r>
            <w:r>
              <w:rPr>
                <w:rFonts w:ascii="Arial" w:hAnsi="Arial" w:cs="Arial" w:hint="eastAsia"/>
                <w:sz w:val="20"/>
                <w:szCs w:val="20"/>
              </w:rPr>
              <w:instrText xml:space="preserve"> 2 HER2-Directed Regimens: Phase III NALA Trial","type":"article-journal","volume":"38"},"uris":["http://www.mendeley.com/documents/?uuid=c2e5c806-cd46-4fff-b701-9a007cc63aaa"]}],"mendeley":{"formattedCitation":"(Sau</w:instrText>
            </w:r>
            <w:r>
              <w:rPr>
                <w:rFonts w:ascii="Arial" w:hAnsi="Arial" w:cs="Arial"/>
                <w:sz w:val="20"/>
                <w:szCs w:val="20"/>
              </w:rPr>
              <w:instrText>ra et al., 2020)","plainTextFormattedCitation":"(Saura et al., 2020)","previouslyFormattedCitation":"&lt;sup&gt;5&lt;/sup&gt;"},"properties":{"noteIndex":0},"schema":"https://github.com/citation-style-language/schema/raw/master/csl-citation.json"}</w:instrText>
            </w:r>
            <w:r w:rsidRPr="00724B6F">
              <w:rPr>
                <w:rFonts w:ascii="Arial" w:hAnsi="Arial" w:cs="Arial"/>
                <w:sz w:val="20"/>
                <w:szCs w:val="20"/>
              </w:rPr>
              <w:fldChar w:fldCharType="separate"/>
            </w:r>
            <w:r w:rsidRPr="007F3792">
              <w:rPr>
                <w:rFonts w:ascii="Arial" w:hAnsi="Arial" w:cs="Arial"/>
                <w:noProof/>
                <w:sz w:val="20"/>
                <w:szCs w:val="20"/>
              </w:rPr>
              <w:t>(Saura et al., 2020)</w:t>
            </w:r>
            <w:r w:rsidRPr="00724B6F">
              <w:rPr>
                <w:rFonts w:ascii="Arial" w:hAnsi="Arial" w:cs="Arial"/>
                <w:sz w:val="20"/>
                <w:szCs w:val="20"/>
              </w:rPr>
              <w:fldChar w:fldCharType="end"/>
            </w:r>
          </w:p>
        </w:tc>
        <w:tc>
          <w:tcPr>
            <w:tcW w:w="1134" w:type="dxa"/>
            <w:tcBorders>
              <w:top w:val="nil"/>
              <w:left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13.2</w:t>
            </w:r>
          </w:p>
        </w:tc>
        <w:tc>
          <w:tcPr>
            <w:tcW w:w="1066" w:type="dxa"/>
            <w:tcBorders>
              <w:top w:val="nil"/>
              <w:left w:val="nil"/>
              <w:right w:val="nil"/>
            </w:tcBorders>
            <w:vAlign w:val="center"/>
          </w:tcPr>
          <w:p w:rsidR="007F3792" w:rsidRPr="00724B6F" w:rsidRDefault="007F3792" w:rsidP="00147446">
            <w:pPr>
              <w:jc w:val="center"/>
              <w:rPr>
                <w:rFonts w:ascii="Arial" w:hAnsi="Arial" w:cs="Arial"/>
                <w:sz w:val="20"/>
                <w:szCs w:val="20"/>
              </w:rPr>
            </w:pPr>
            <w:r w:rsidRPr="00724B6F">
              <w:rPr>
                <w:rFonts w:ascii="Arial" w:hAnsi="Arial" w:cs="Arial"/>
                <w:sz w:val="20"/>
                <w:szCs w:val="20"/>
              </w:rPr>
              <w:t>0.6</w:t>
            </w:r>
          </w:p>
        </w:tc>
      </w:tr>
    </w:tbl>
    <w:p w:rsidR="00ED4420" w:rsidRPr="00FC2205" w:rsidRDefault="00ED4420" w:rsidP="007F3792">
      <w:pPr>
        <w:rPr>
          <w:rFonts w:ascii="Arial" w:hAnsi="Arial" w:cs="Arial"/>
          <w:szCs w:val="21"/>
        </w:rPr>
      </w:pPr>
      <w:bookmarkStart w:id="0" w:name="_GoBack"/>
      <w:bookmarkEnd w:id="0"/>
    </w:p>
    <w:p w:rsidR="000136D6" w:rsidRPr="00724B6F" w:rsidRDefault="007B3A0C" w:rsidP="007F3792">
      <w:pPr>
        <w:rPr>
          <w:rFonts w:ascii="Arial" w:hAnsi="Arial" w:cs="Arial"/>
          <w:szCs w:val="21"/>
        </w:rPr>
      </w:pPr>
      <w:r w:rsidRPr="00724B6F">
        <w:rPr>
          <w:rFonts w:ascii="Arial" w:hAnsi="Arial" w:cs="Arial"/>
          <w:b/>
          <w:szCs w:val="21"/>
        </w:rPr>
        <w:t>Supplementa</w:t>
      </w:r>
      <w:r w:rsidR="00ED4420">
        <w:rPr>
          <w:rFonts w:ascii="Arial" w:hAnsi="Arial" w:cs="Arial"/>
          <w:b/>
          <w:szCs w:val="21"/>
        </w:rPr>
        <w:t>l</w:t>
      </w:r>
      <w:r w:rsidRPr="00724B6F">
        <w:rPr>
          <w:rFonts w:ascii="Arial" w:hAnsi="Arial" w:cs="Arial"/>
          <w:b/>
          <w:szCs w:val="21"/>
        </w:rPr>
        <w:t xml:space="preserve"> Reference</w:t>
      </w:r>
    </w:p>
    <w:p w:rsidR="007F3792" w:rsidRPr="007F3792" w:rsidRDefault="007F3792" w:rsidP="007F3792">
      <w:pPr>
        <w:autoSpaceDE w:val="0"/>
        <w:autoSpaceDN w:val="0"/>
        <w:adjustRightInd w:val="0"/>
        <w:ind w:left="480" w:hanging="480"/>
        <w:jc w:val="left"/>
        <w:rPr>
          <w:rFonts w:ascii="Arial" w:hAnsi="Arial" w:cs="Arial"/>
          <w:noProof/>
          <w:kern w:val="0"/>
          <w:sz w:val="20"/>
          <w:szCs w:val="24"/>
        </w:rPr>
      </w:pPr>
      <w:r>
        <w:rPr>
          <w:rFonts w:ascii="Arial" w:hAnsi="Arial" w:cs="Arial"/>
          <w:szCs w:val="21"/>
        </w:rPr>
        <w:fldChar w:fldCharType="begin" w:fldLock="1"/>
      </w:r>
      <w:r>
        <w:rPr>
          <w:rFonts w:ascii="Arial" w:hAnsi="Arial" w:cs="Arial"/>
          <w:szCs w:val="21"/>
        </w:rPr>
        <w:instrText xml:space="preserve">ADDIN Mendeley Bibliography CSL_BIBLIOGRAPHY </w:instrText>
      </w:r>
      <w:r>
        <w:rPr>
          <w:rFonts w:ascii="Arial" w:hAnsi="Arial" w:cs="Arial"/>
          <w:szCs w:val="21"/>
        </w:rPr>
        <w:fldChar w:fldCharType="separate"/>
      </w:r>
      <w:r w:rsidRPr="007F3792">
        <w:rPr>
          <w:rFonts w:ascii="Arial" w:hAnsi="Arial" w:cs="Arial"/>
          <w:noProof/>
          <w:kern w:val="0"/>
          <w:sz w:val="20"/>
          <w:szCs w:val="24"/>
        </w:rPr>
        <w:t>Drug Approval Package: Tarceva (E</w:t>
      </w:r>
      <w:r>
        <w:rPr>
          <w:rFonts w:ascii="Arial" w:hAnsi="Arial" w:cs="Arial"/>
          <w:noProof/>
          <w:kern w:val="0"/>
          <w:sz w:val="20"/>
          <w:szCs w:val="24"/>
        </w:rPr>
        <w:t xml:space="preserve">rlotinib) NDA # 021743. 2010. </w:t>
      </w:r>
      <w:r w:rsidRPr="007F3792">
        <w:rPr>
          <w:rFonts w:ascii="Arial" w:hAnsi="Arial" w:cs="Arial"/>
          <w:i/>
          <w:iCs/>
          <w:noProof/>
          <w:kern w:val="0"/>
          <w:sz w:val="20"/>
          <w:szCs w:val="24"/>
        </w:rPr>
        <w:t>US Food Drug Adm</w:t>
      </w:r>
      <w:r w:rsidRPr="007F3792">
        <w:rPr>
          <w:rFonts w:ascii="Arial" w:hAnsi="Arial" w:cs="Arial"/>
          <w:noProof/>
          <w:kern w:val="0"/>
          <w:sz w:val="20"/>
          <w:szCs w:val="24"/>
        </w:rPr>
        <w:t>.</w:t>
      </w:r>
    </w:p>
    <w:p w:rsidR="007F3792" w:rsidRPr="007F3792" w:rsidRDefault="007F3792" w:rsidP="007F3792">
      <w:pPr>
        <w:autoSpaceDE w:val="0"/>
        <w:autoSpaceDN w:val="0"/>
        <w:adjustRightInd w:val="0"/>
        <w:ind w:left="480" w:hanging="480"/>
        <w:jc w:val="left"/>
        <w:rPr>
          <w:rFonts w:ascii="Arial" w:hAnsi="Arial" w:cs="Arial"/>
          <w:noProof/>
          <w:kern w:val="0"/>
          <w:sz w:val="20"/>
          <w:szCs w:val="24"/>
        </w:rPr>
      </w:pPr>
      <w:r w:rsidRPr="007F3792">
        <w:rPr>
          <w:rFonts w:ascii="Arial" w:hAnsi="Arial" w:cs="Arial"/>
          <w:noProof/>
          <w:kern w:val="0"/>
          <w:sz w:val="20"/>
          <w:szCs w:val="24"/>
        </w:rPr>
        <w:t xml:space="preserve">Mortimer J, Di Palma J, Schmid K, Ye Y, Jahanzeb M. 2019. Patterns of occurrence and implications of neratinib-associated diarrhea in patients with HER2-positive breast cancer: analyses from the randomized phase III ExteNET trial. </w:t>
      </w:r>
      <w:r w:rsidRPr="007F3792">
        <w:rPr>
          <w:rFonts w:ascii="Arial" w:hAnsi="Arial" w:cs="Arial"/>
          <w:i/>
          <w:iCs/>
          <w:noProof/>
          <w:kern w:val="0"/>
          <w:sz w:val="20"/>
          <w:szCs w:val="24"/>
        </w:rPr>
        <w:t>Breast Cancer Res</w:t>
      </w:r>
      <w:r w:rsidRPr="007F3792">
        <w:rPr>
          <w:rFonts w:ascii="Arial" w:hAnsi="Arial" w:cs="Arial"/>
          <w:noProof/>
          <w:kern w:val="0"/>
          <w:sz w:val="20"/>
          <w:szCs w:val="24"/>
        </w:rPr>
        <w:t xml:space="preserve"> </w:t>
      </w:r>
      <w:r w:rsidRPr="007F3792">
        <w:rPr>
          <w:rFonts w:ascii="Arial" w:hAnsi="Arial" w:cs="Arial"/>
          <w:b/>
          <w:bCs/>
          <w:noProof/>
          <w:kern w:val="0"/>
          <w:sz w:val="20"/>
          <w:szCs w:val="24"/>
        </w:rPr>
        <w:t>21</w:t>
      </w:r>
      <w:r w:rsidRPr="007F3792">
        <w:rPr>
          <w:rFonts w:ascii="Arial" w:hAnsi="Arial" w:cs="Arial"/>
          <w:noProof/>
          <w:kern w:val="0"/>
          <w:sz w:val="20"/>
          <w:szCs w:val="24"/>
        </w:rPr>
        <w:t>:32. doi:10.1186/s13058-019-1112-5</w:t>
      </w:r>
    </w:p>
    <w:p w:rsidR="007F3792" w:rsidRPr="007F3792" w:rsidRDefault="007F3792" w:rsidP="007F3792">
      <w:pPr>
        <w:autoSpaceDE w:val="0"/>
        <w:autoSpaceDN w:val="0"/>
        <w:adjustRightInd w:val="0"/>
        <w:ind w:left="480" w:hanging="480"/>
        <w:jc w:val="left"/>
        <w:rPr>
          <w:rFonts w:ascii="Arial" w:hAnsi="Arial" w:cs="Arial"/>
          <w:noProof/>
          <w:kern w:val="0"/>
          <w:sz w:val="20"/>
          <w:szCs w:val="24"/>
        </w:rPr>
      </w:pPr>
      <w:r w:rsidRPr="007F3792">
        <w:rPr>
          <w:rFonts w:ascii="Arial" w:hAnsi="Arial" w:cs="Arial"/>
          <w:noProof/>
          <w:kern w:val="0"/>
          <w:sz w:val="20"/>
          <w:szCs w:val="24"/>
        </w:rPr>
        <w:t xml:space="preserve">Saura C, Oliveira M, Feng Y-H, Dai M-S, Chen S-W, Hurvitz SA, Kim S-B, Moy B, Delaloge S, Gradishar W, Masuda N, Palacova M, Trudeau ME, Mattson J, Yap YS, Hou M-F, De Laurentiis M, Yeh Y-M, Chang H-T, Yau T, Wildiers H, Haley B, Fagnani D, Lu Y-S, Crown J, Lin J, Takahashi M, Takano T, Yamaguchi M, Fujii T, Yao B, Bebchuk J, Keyvanjah K, Bryce R, Brufsky A, Investigators N. 2020. Neratinib Plus Capecitabine Versus Lapatinib Plus Capecitabine in HER2-Positive Metastatic Breast Cancer Previously Treated With ≥ 2 HER2-Directed Regimens: Phase III NALA Trial. </w:t>
      </w:r>
      <w:r w:rsidRPr="007F3792">
        <w:rPr>
          <w:rFonts w:ascii="Arial" w:hAnsi="Arial" w:cs="Arial"/>
          <w:i/>
          <w:iCs/>
          <w:noProof/>
          <w:kern w:val="0"/>
          <w:sz w:val="20"/>
          <w:szCs w:val="24"/>
        </w:rPr>
        <w:t>J Clin Oncol</w:t>
      </w:r>
      <w:r w:rsidRPr="007F3792">
        <w:rPr>
          <w:rFonts w:ascii="Arial" w:hAnsi="Arial" w:cs="Arial"/>
          <w:noProof/>
          <w:kern w:val="0"/>
          <w:sz w:val="20"/>
          <w:szCs w:val="24"/>
        </w:rPr>
        <w:t xml:space="preserve"> </w:t>
      </w:r>
      <w:r w:rsidRPr="007F3792">
        <w:rPr>
          <w:rFonts w:ascii="Arial" w:hAnsi="Arial" w:cs="Arial"/>
          <w:b/>
          <w:bCs/>
          <w:noProof/>
          <w:kern w:val="0"/>
          <w:sz w:val="20"/>
          <w:szCs w:val="24"/>
        </w:rPr>
        <w:t>38</w:t>
      </w:r>
      <w:r w:rsidRPr="007F3792">
        <w:rPr>
          <w:rFonts w:ascii="Arial" w:hAnsi="Arial" w:cs="Arial"/>
          <w:noProof/>
          <w:kern w:val="0"/>
          <w:sz w:val="20"/>
          <w:szCs w:val="24"/>
        </w:rPr>
        <w:t>:3138–3149. doi:10.1200/JCO.20.00147</w:t>
      </w:r>
    </w:p>
    <w:p w:rsidR="007F3792" w:rsidRPr="007F3792" w:rsidRDefault="007F3792" w:rsidP="007F3792">
      <w:pPr>
        <w:autoSpaceDE w:val="0"/>
        <w:autoSpaceDN w:val="0"/>
        <w:adjustRightInd w:val="0"/>
        <w:ind w:left="480" w:hanging="480"/>
        <w:jc w:val="left"/>
        <w:rPr>
          <w:rFonts w:ascii="Arial" w:hAnsi="Arial" w:cs="Arial"/>
          <w:noProof/>
          <w:kern w:val="0"/>
          <w:sz w:val="20"/>
          <w:szCs w:val="24"/>
        </w:rPr>
      </w:pPr>
      <w:r w:rsidRPr="007F3792">
        <w:rPr>
          <w:rFonts w:ascii="Arial" w:hAnsi="Arial" w:cs="Arial"/>
          <w:noProof/>
          <w:kern w:val="0"/>
          <w:sz w:val="20"/>
          <w:szCs w:val="24"/>
        </w:rPr>
        <w:t xml:space="preserve">Sequist L V., Yang JCH, Yamamoto N, O’Byrne K, Hirsh V, Mok T, Geater SL, Orlov S, Tsai CM, Boyer M, Su WC, Bennouna J, Kato T, Gorbunova V, Lee KH, Shah R, Massey D, Zazulina V, Shahidi M, Schuler M. 2013. Phase III study of afatinib or cisplatin plus pemetrexed in patients with metastatic lung adenocarcinoma with EGFR mutations. </w:t>
      </w:r>
      <w:r w:rsidRPr="007F3792">
        <w:rPr>
          <w:rFonts w:ascii="Arial" w:hAnsi="Arial" w:cs="Arial"/>
          <w:i/>
          <w:iCs/>
          <w:noProof/>
          <w:kern w:val="0"/>
          <w:sz w:val="20"/>
          <w:szCs w:val="24"/>
        </w:rPr>
        <w:t>J Clin Oncol</w:t>
      </w:r>
      <w:r w:rsidRPr="007F3792">
        <w:rPr>
          <w:rFonts w:ascii="Arial" w:hAnsi="Arial" w:cs="Arial"/>
          <w:noProof/>
          <w:kern w:val="0"/>
          <w:sz w:val="20"/>
          <w:szCs w:val="24"/>
        </w:rPr>
        <w:t xml:space="preserve"> </w:t>
      </w:r>
      <w:r w:rsidRPr="007F3792">
        <w:rPr>
          <w:rFonts w:ascii="Arial" w:hAnsi="Arial" w:cs="Arial"/>
          <w:b/>
          <w:bCs/>
          <w:noProof/>
          <w:kern w:val="0"/>
          <w:sz w:val="20"/>
          <w:szCs w:val="24"/>
        </w:rPr>
        <w:t>31</w:t>
      </w:r>
      <w:r w:rsidRPr="007F3792">
        <w:rPr>
          <w:rFonts w:ascii="Arial" w:hAnsi="Arial" w:cs="Arial"/>
          <w:noProof/>
          <w:kern w:val="0"/>
          <w:sz w:val="20"/>
          <w:szCs w:val="24"/>
        </w:rPr>
        <w:t>:3327–3334. doi:10.1200/JCO.2012.44.2806</w:t>
      </w:r>
    </w:p>
    <w:p w:rsidR="007F3792" w:rsidRPr="007F3792" w:rsidRDefault="007F3792" w:rsidP="007F3792">
      <w:pPr>
        <w:autoSpaceDE w:val="0"/>
        <w:autoSpaceDN w:val="0"/>
        <w:adjustRightInd w:val="0"/>
        <w:ind w:left="480" w:hanging="480"/>
        <w:jc w:val="left"/>
        <w:rPr>
          <w:rFonts w:ascii="Arial" w:hAnsi="Arial" w:cs="Arial"/>
          <w:noProof/>
          <w:sz w:val="20"/>
        </w:rPr>
      </w:pPr>
      <w:r w:rsidRPr="007F3792">
        <w:rPr>
          <w:rFonts w:ascii="Arial" w:hAnsi="Arial" w:cs="Arial"/>
          <w:noProof/>
          <w:kern w:val="0"/>
          <w:sz w:val="20"/>
          <w:szCs w:val="24"/>
        </w:rPr>
        <w:t xml:space="preserve">Wu Y-L, Cheng Y, Zhou X, Lee KH, Nakagawa K, Niho S, Tsuji F, Linke R, Rosell R, Corral J, Migliorino MR, Pluzanski A, Sbar EI, Wang T, White JL, Nadanaciva S, Sandin R, Mok TS. 2017. Dacomitinib versus gefitinib as first-line treatment for patients with EGFR-mutation-positive non-small-cell lung cancer (ARCHER 1050): a randomised, open-label, phase 3 trial. </w:t>
      </w:r>
      <w:r w:rsidRPr="007F3792">
        <w:rPr>
          <w:rFonts w:ascii="Arial" w:hAnsi="Arial" w:cs="Arial"/>
          <w:i/>
          <w:iCs/>
          <w:noProof/>
          <w:kern w:val="0"/>
          <w:sz w:val="20"/>
          <w:szCs w:val="24"/>
        </w:rPr>
        <w:t>Lancet Oncol</w:t>
      </w:r>
      <w:r w:rsidRPr="007F3792">
        <w:rPr>
          <w:rFonts w:ascii="Arial" w:hAnsi="Arial" w:cs="Arial"/>
          <w:noProof/>
          <w:kern w:val="0"/>
          <w:sz w:val="20"/>
          <w:szCs w:val="24"/>
        </w:rPr>
        <w:t xml:space="preserve"> </w:t>
      </w:r>
      <w:r w:rsidRPr="007F3792">
        <w:rPr>
          <w:rFonts w:ascii="Arial" w:hAnsi="Arial" w:cs="Arial"/>
          <w:b/>
          <w:bCs/>
          <w:noProof/>
          <w:kern w:val="0"/>
          <w:sz w:val="20"/>
          <w:szCs w:val="24"/>
        </w:rPr>
        <w:t>18</w:t>
      </w:r>
      <w:r w:rsidRPr="007F3792">
        <w:rPr>
          <w:rFonts w:ascii="Arial" w:hAnsi="Arial" w:cs="Arial"/>
          <w:noProof/>
          <w:kern w:val="0"/>
          <w:sz w:val="20"/>
          <w:szCs w:val="24"/>
        </w:rPr>
        <w:t>:1454–1466. doi:https://doi.org/10.1016/S1470-2045(17)30608-3</w:t>
      </w:r>
    </w:p>
    <w:p w:rsidR="000136D6" w:rsidRPr="00724B6F" w:rsidRDefault="007F3792" w:rsidP="007F3792">
      <w:pPr>
        <w:rPr>
          <w:rFonts w:ascii="Arial" w:hAnsi="Arial" w:cs="Arial"/>
          <w:szCs w:val="21"/>
        </w:rPr>
      </w:pPr>
      <w:r>
        <w:rPr>
          <w:rFonts w:ascii="Arial" w:hAnsi="Arial" w:cs="Arial"/>
          <w:szCs w:val="21"/>
        </w:rPr>
        <w:fldChar w:fldCharType="end"/>
      </w:r>
    </w:p>
    <w:sectPr w:rsidR="000136D6" w:rsidRPr="00724B6F" w:rsidSect="00C24F4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F3F" w:rsidRDefault="00083F3F" w:rsidP="00673A49">
      <w:r>
        <w:separator/>
      </w:r>
    </w:p>
  </w:endnote>
  <w:endnote w:type="continuationSeparator" w:id="0">
    <w:p w:rsidR="00083F3F" w:rsidRDefault="00083F3F" w:rsidP="0067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317957"/>
      <w:docPartObj>
        <w:docPartGallery w:val="Page Numbers (Bottom of Page)"/>
        <w:docPartUnique/>
      </w:docPartObj>
    </w:sdtPr>
    <w:sdtEndPr/>
    <w:sdtContent>
      <w:p w:rsidR="00B21C23" w:rsidRDefault="00B21C23">
        <w:pPr>
          <w:pStyle w:val="a5"/>
          <w:jc w:val="center"/>
        </w:pPr>
        <w:r>
          <w:fldChar w:fldCharType="begin"/>
        </w:r>
        <w:r>
          <w:instrText>PAGE   \* MERGEFORMAT</w:instrText>
        </w:r>
        <w:r>
          <w:fldChar w:fldCharType="separate"/>
        </w:r>
        <w:r w:rsidR="00FC2205" w:rsidRPr="00FC2205">
          <w:rPr>
            <w:noProof/>
            <w:lang w:val="zh-CN"/>
          </w:rPr>
          <w:t>1</w:t>
        </w:r>
        <w:r>
          <w:fldChar w:fldCharType="end"/>
        </w:r>
      </w:p>
    </w:sdtContent>
  </w:sdt>
  <w:p w:rsidR="00B21C23" w:rsidRDefault="00B21C2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F3F" w:rsidRDefault="00083F3F" w:rsidP="00673A49">
      <w:r>
        <w:separator/>
      </w:r>
    </w:p>
  </w:footnote>
  <w:footnote w:type="continuationSeparator" w:id="0">
    <w:p w:rsidR="00083F3F" w:rsidRDefault="00083F3F" w:rsidP="00673A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4F"/>
    <w:rsid w:val="00001665"/>
    <w:rsid w:val="000136D6"/>
    <w:rsid w:val="00056EAD"/>
    <w:rsid w:val="00083F3F"/>
    <w:rsid w:val="000A62F6"/>
    <w:rsid w:val="000B678D"/>
    <w:rsid w:val="000C1857"/>
    <w:rsid w:val="00183661"/>
    <w:rsid w:val="001A50BD"/>
    <w:rsid w:val="001C42A2"/>
    <w:rsid w:val="001D18BD"/>
    <w:rsid w:val="0021201E"/>
    <w:rsid w:val="002332B3"/>
    <w:rsid w:val="002462BE"/>
    <w:rsid w:val="002502A8"/>
    <w:rsid w:val="002806FC"/>
    <w:rsid w:val="002A2116"/>
    <w:rsid w:val="002B4656"/>
    <w:rsid w:val="002C709A"/>
    <w:rsid w:val="002D28DC"/>
    <w:rsid w:val="002D32A6"/>
    <w:rsid w:val="00310CF5"/>
    <w:rsid w:val="003209D6"/>
    <w:rsid w:val="00385D3B"/>
    <w:rsid w:val="0039353A"/>
    <w:rsid w:val="003E6037"/>
    <w:rsid w:val="004328F3"/>
    <w:rsid w:val="0049321B"/>
    <w:rsid w:val="004A54AA"/>
    <w:rsid w:val="005202BD"/>
    <w:rsid w:val="0053605D"/>
    <w:rsid w:val="00552C3B"/>
    <w:rsid w:val="00570554"/>
    <w:rsid w:val="00572ABE"/>
    <w:rsid w:val="00596D51"/>
    <w:rsid w:val="005F1676"/>
    <w:rsid w:val="006220F0"/>
    <w:rsid w:val="00634A3D"/>
    <w:rsid w:val="00664F02"/>
    <w:rsid w:val="00673A49"/>
    <w:rsid w:val="006803F5"/>
    <w:rsid w:val="00694B4D"/>
    <w:rsid w:val="006A66B2"/>
    <w:rsid w:val="006D2CF7"/>
    <w:rsid w:val="00724B6F"/>
    <w:rsid w:val="00726964"/>
    <w:rsid w:val="00726DC5"/>
    <w:rsid w:val="00796A3F"/>
    <w:rsid w:val="007B2001"/>
    <w:rsid w:val="007B3A0C"/>
    <w:rsid w:val="007B471F"/>
    <w:rsid w:val="007B78C2"/>
    <w:rsid w:val="007C6FBE"/>
    <w:rsid w:val="007F3792"/>
    <w:rsid w:val="00800290"/>
    <w:rsid w:val="008A6B76"/>
    <w:rsid w:val="008B05DA"/>
    <w:rsid w:val="00925CBB"/>
    <w:rsid w:val="00942B0A"/>
    <w:rsid w:val="009477CB"/>
    <w:rsid w:val="00984EC4"/>
    <w:rsid w:val="009A34FE"/>
    <w:rsid w:val="009E5E3C"/>
    <w:rsid w:val="009F4DEB"/>
    <w:rsid w:val="009F52C0"/>
    <w:rsid w:val="00AB1DCE"/>
    <w:rsid w:val="00B03840"/>
    <w:rsid w:val="00B21C23"/>
    <w:rsid w:val="00B5248A"/>
    <w:rsid w:val="00C035A7"/>
    <w:rsid w:val="00C24F46"/>
    <w:rsid w:val="00C34A87"/>
    <w:rsid w:val="00C6608A"/>
    <w:rsid w:val="00C6794A"/>
    <w:rsid w:val="00C7671F"/>
    <w:rsid w:val="00CB58B9"/>
    <w:rsid w:val="00D34E3C"/>
    <w:rsid w:val="00D87C7D"/>
    <w:rsid w:val="00D96C2C"/>
    <w:rsid w:val="00DB516C"/>
    <w:rsid w:val="00DC658E"/>
    <w:rsid w:val="00DD455A"/>
    <w:rsid w:val="00DE2BB7"/>
    <w:rsid w:val="00DF2442"/>
    <w:rsid w:val="00E05CBB"/>
    <w:rsid w:val="00E3394F"/>
    <w:rsid w:val="00E342DC"/>
    <w:rsid w:val="00EB791F"/>
    <w:rsid w:val="00ED4420"/>
    <w:rsid w:val="00F82C41"/>
    <w:rsid w:val="00FC2205"/>
    <w:rsid w:val="00FC5B4D"/>
    <w:rsid w:val="00FC7D72"/>
    <w:rsid w:val="00FD58A0"/>
    <w:rsid w:val="00FE0604"/>
    <w:rsid w:val="00FF599C"/>
    <w:rsid w:val="1F742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459244"/>
  <w15:docId w15:val="{41352A91-76D4-45DC-8DE9-E79DA694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宋体" w:eastAsia="宋体"/>
      <w:sz w:val="18"/>
      <w:szCs w:val="18"/>
    </w:rPr>
  </w:style>
  <w:style w:type="character" w:styleId="aa">
    <w:name w:val="Hyperlink"/>
    <w:basedOn w:val="a0"/>
    <w:uiPriority w:val="99"/>
    <w:semiHidden/>
    <w:unhideWhenUsed/>
    <w:rsid w:val="00673A49"/>
    <w:rPr>
      <w:color w:val="0000FF"/>
      <w:u w:val="single"/>
    </w:rPr>
  </w:style>
  <w:style w:type="paragraph" w:styleId="ab">
    <w:name w:val="List Paragraph"/>
    <w:basedOn w:val="a"/>
    <w:uiPriority w:val="99"/>
    <w:rsid w:val="0021201E"/>
    <w:pPr>
      <w:ind w:firstLineChars="200" w:firstLine="420"/>
    </w:pPr>
  </w:style>
  <w:style w:type="character" w:styleId="ac">
    <w:name w:val="line number"/>
    <w:basedOn w:val="a0"/>
    <w:uiPriority w:val="99"/>
    <w:semiHidden/>
    <w:unhideWhenUsed/>
    <w:rsid w:val="00B2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B4F4D-0DBE-4B0A-9564-246822989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5490</Words>
  <Characters>31297</Characters>
  <Application>Microsoft Office Word</Application>
  <DocSecurity>0</DocSecurity>
  <Lines>260</Lines>
  <Paragraphs>73</Paragraphs>
  <ScaleCrop>false</ScaleCrop>
  <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CLY</dc:creator>
  <cp:lastModifiedBy>CLY</cp:lastModifiedBy>
  <cp:revision>6</cp:revision>
  <cp:lastPrinted>2021-07-23T07:52:00Z</cp:lastPrinted>
  <dcterms:created xsi:type="dcterms:W3CDTF">2021-07-27T15:06:00Z</dcterms:created>
  <dcterms:modified xsi:type="dcterms:W3CDTF">2021-07-27T15:11:00Z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8159850718714AD88843A621F630430A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http://www.zotero.org/styles/chicago-author-date</vt:lpwstr>
  </property>
  <property fmtid="{D5CDD505-2E9C-101B-9397-08002B2CF9AE}" pid="7" name="Mendeley Recent Style Name 1_1">
    <vt:lpwstr>Chicago Manual of Style 17th edition (author-date)</vt:lpwstr>
  </property>
  <property fmtid="{D5CDD505-2E9C-101B-9397-08002B2CF9AE}" pid="8" name="Mendeley Recent Style Id 2_1">
    <vt:lpwstr>http://www.zotero.org/styles/chicago-fullnote-bibliography</vt:lpwstr>
  </property>
  <property fmtid="{D5CDD505-2E9C-101B-9397-08002B2CF9AE}" pid="9" name="Mendeley Recent Style Name 2_1">
    <vt:lpwstr>Chicago Manual of Style 17th edition (full note)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http://www.zotero.org/styles/ebiomedicine</vt:lpwstr>
  </property>
  <property fmtid="{D5CDD505-2E9C-101B-9397-08002B2CF9AE}" pid="13" name="Mendeley Recent Style Name 4_1">
    <vt:lpwstr>EBioMedicine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http://www.zotero.org/styles/molecular-therapy</vt:lpwstr>
  </property>
  <property fmtid="{D5CDD505-2E9C-101B-9397-08002B2CF9AE}" pid="17" name="Mendeley Recent Style Name 6_1">
    <vt:lpwstr>Molecular Therapy</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http://www.zotero.org/styles/the-journal-of-clinical-investigation</vt:lpwstr>
  </property>
  <property fmtid="{D5CDD505-2E9C-101B-9397-08002B2CF9AE}" pid="21" name="Mendeley Recent Style Name 8_1">
    <vt:lpwstr>The Journal of Clinical Investigation</vt:lpwstr>
  </property>
  <property fmtid="{D5CDD505-2E9C-101B-9397-08002B2CF9AE}" pid="22" name="Mendeley Recent Style Id 9_1">
    <vt:lpwstr>http://www.zotero.org/styles/elife</vt:lpwstr>
  </property>
  <property fmtid="{D5CDD505-2E9C-101B-9397-08002B2CF9AE}" pid="23" name="Mendeley Recent Style Name 9_1">
    <vt:lpwstr>eLife</vt:lpwstr>
  </property>
  <property fmtid="{D5CDD505-2E9C-101B-9397-08002B2CF9AE}" pid="24" name="Mendeley Document_1">
    <vt:lpwstr>True</vt:lpwstr>
  </property>
  <property fmtid="{D5CDD505-2E9C-101B-9397-08002B2CF9AE}" pid="25" name="Mendeley Unique User Id_1">
    <vt:lpwstr>4f7229ce-cc45-3ed3-aafc-40ff8f7487c7</vt:lpwstr>
  </property>
  <property fmtid="{D5CDD505-2E9C-101B-9397-08002B2CF9AE}" pid="26" name="Mendeley Citation Style_1">
    <vt:lpwstr>http://www.zotero.org/styles/elife</vt:lpwstr>
  </property>
</Properties>
</file>