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7A29" w14:textId="062937D5" w:rsidR="00186C22" w:rsidRDefault="00186C22">
      <w:pPr>
        <w:rPr>
          <w:b/>
          <w:bCs/>
        </w:rPr>
      </w:pPr>
      <w:r>
        <w:rPr>
          <w:b/>
          <w:bCs/>
        </w:rPr>
        <w:t>Supplementary File 1</w:t>
      </w:r>
    </w:p>
    <w:p w14:paraId="764F9090" w14:textId="77777777" w:rsidR="00186C22" w:rsidRDefault="00186C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1565"/>
        <w:gridCol w:w="1440"/>
        <w:gridCol w:w="2520"/>
        <w:gridCol w:w="2425"/>
      </w:tblGrid>
      <w:tr w:rsidR="00326741" w14:paraId="44E90E70" w14:textId="77777777" w:rsidTr="003304D1">
        <w:tc>
          <w:tcPr>
            <w:tcW w:w="1400" w:type="dxa"/>
          </w:tcPr>
          <w:p w14:paraId="69A6270F" w14:textId="77777777" w:rsidR="00326741" w:rsidRDefault="00326741" w:rsidP="003304D1">
            <w:pPr>
              <w:rPr>
                <w:b/>
                <w:bCs/>
              </w:rPr>
            </w:pPr>
            <w:r>
              <w:rPr>
                <w:b/>
                <w:bCs/>
              </w:rPr>
              <w:t>Protein</w:t>
            </w:r>
          </w:p>
        </w:tc>
        <w:tc>
          <w:tcPr>
            <w:tcW w:w="1565" w:type="dxa"/>
          </w:tcPr>
          <w:p w14:paraId="26354CAF" w14:textId="77777777" w:rsidR="00326741" w:rsidRDefault="00326741" w:rsidP="003304D1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67CA0">
              <w:rPr>
                <w:b/>
                <w:bCs/>
                <w:vertAlign w:val="subscript"/>
              </w:rPr>
              <w:t xml:space="preserve">1/2 </w:t>
            </w:r>
          </w:p>
        </w:tc>
        <w:tc>
          <w:tcPr>
            <w:tcW w:w="1440" w:type="dxa"/>
          </w:tcPr>
          <w:p w14:paraId="65CB8E11" w14:textId="77777777" w:rsidR="00326741" w:rsidRDefault="00326741" w:rsidP="003304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gramStart"/>
            <w:r>
              <w:rPr>
                <w:b/>
                <w:bCs/>
              </w:rPr>
              <w:t>recovery</w:t>
            </w:r>
            <w:proofErr w:type="gramEnd"/>
          </w:p>
        </w:tc>
        <w:tc>
          <w:tcPr>
            <w:tcW w:w="2520" w:type="dxa"/>
          </w:tcPr>
          <w:p w14:paraId="4D1620BB" w14:textId="77777777" w:rsidR="00326741" w:rsidRDefault="00326741" w:rsidP="003304D1">
            <w:pPr>
              <w:rPr>
                <w:b/>
                <w:bCs/>
              </w:rPr>
            </w:pPr>
            <w:r>
              <w:rPr>
                <w:b/>
                <w:bCs/>
              </w:rPr>
              <w:t>Citation</w:t>
            </w:r>
          </w:p>
        </w:tc>
        <w:tc>
          <w:tcPr>
            <w:tcW w:w="2425" w:type="dxa"/>
          </w:tcPr>
          <w:p w14:paraId="64F277C1" w14:textId="77777777" w:rsidR="00326741" w:rsidRDefault="00326741" w:rsidP="003304D1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326741" w14:paraId="30B57BE1" w14:textId="77777777" w:rsidTr="003304D1">
        <w:tc>
          <w:tcPr>
            <w:tcW w:w="1400" w:type="dxa"/>
          </w:tcPr>
          <w:p w14:paraId="3BDBCB09" w14:textId="77777777" w:rsidR="00326741" w:rsidRPr="00167CA0" w:rsidRDefault="00326741" w:rsidP="003304D1">
            <w:pPr>
              <w:rPr>
                <w:b/>
                <w:bCs/>
              </w:rPr>
            </w:pPr>
            <w:r w:rsidRPr="00167CA0">
              <w:t>VASP</w:t>
            </w:r>
          </w:p>
        </w:tc>
        <w:tc>
          <w:tcPr>
            <w:tcW w:w="1565" w:type="dxa"/>
          </w:tcPr>
          <w:p w14:paraId="7A08E4C5" w14:textId="77777777" w:rsidR="00326741" w:rsidRPr="003B3ADF" w:rsidRDefault="00326741" w:rsidP="003304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 s</w:t>
            </w:r>
          </w:p>
        </w:tc>
        <w:tc>
          <w:tcPr>
            <w:tcW w:w="1440" w:type="dxa"/>
          </w:tcPr>
          <w:p w14:paraId="423D44DD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2520" w:type="dxa"/>
          </w:tcPr>
          <w:p w14:paraId="4387B052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4784120E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            on FN</w:t>
            </w:r>
          </w:p>
        </w:tc>
      </w:tr>
      <w:tr w:rsidR="00326741" w14:paraId="6B0E2919" w14:textId="77777777" w:rsidTr="003304D1">
        <w:tc>
          <w:tcPr>
            <w:tcW w:w="1400" w:type="dxa"/>
          </w:tcPr>
          <w:p w14:paraId="3D5E2395" w14:textId="77777777" w:rsidR="00326741" w:rsidRPr="00167CA0" w:rsidRDefault="00326741" w:rsidP="003304D1">
            <w:r w:rsidRPr="00167CA0">
              <w:t>VASP</w:t>
            </w:r>
          </w:p>
        </w:tc>
        <w:tc>
          <w:tcPr>
            <w:tcW w:w="1565" w:type="dxa"/>
          </w:tcPr>
          <w:p w14:paraId="5F87D17C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11.1 s</w:t>
            </w:r>
          </w:p>
        </w:tc>
        <w:tc>
          <w:tcPr>
            <w:tcW w:w="1440" w:type="dxa"/>
          </w:tcPr>
          <w:p w14:paraId="787C7163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~75%</w:t>
            </w:r>
          </w:p>
        </w:tc>
        <w:tc>
          <w:tcPr>
            <w:tcW w:w="2520" w:type="dxa"/>
          </w:tcPr>
          <w:p w14:paraId="5916E005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5D9CFFCC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72D31D06" w14:textId="77777777" w:rsidTr="003304D1">
        <w:trPr>
          <w:trHeight w:val="557"/>
        </w:trPr>
        <w:tc>
          <w:tcPr>
            <w:tcW w:w="1400" w:type="dxa"/>
          </w:tcPr>
          <w:p w14:paraId="194B84D1" w14:textId="77777777" w:rsidR="00326741" w:rsidRPr="00167CA0" w:rsidRDefault="00326741" w:rsidP="003304D1">
            <w:pPr>
              <w:rPr>
                <w:b/>
                <w:bCs/>
              </w:rPr>
            </w:pPr>
            <w:r w:rsidRPr="00167CA0">
              <w:rPr>
                <w:b/>
                <w:bCs/>
              </w:rPr>
              <w:t>FAK</w:t>
            </w:r>
          </w:p>
        </w:tc>
        <w:tc>
          <w:tcPr>
            <w:tcW w:w="1565" w:type="dxa"/>
          </w:tcPr>
          <w:p w14:paraId="01330C96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 s</w:t>
            </w:r>
          </w:p>
          <w:p w14:paraId="1E7694FC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</w:tcPr>
          <w:p w14:paraId="463E4DC1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  <w:p w14:paraId="5F39D205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483AF75D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193073B1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</w:tc>
      </w:tr>
      <w:tr w:rsidR="00326741" w14:paraId="777891A5" w14:textId="77777777" w:rsidTr="003304D1">
        <w:tc>
          <w:tcPr>
            <w:tcW w:w="1400" w:type="dxa"/>
          </w:tcPr>
          <w:p w14:paraId="280D5336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FAK</w:t>
            </w:r>
          </w:p>
        </w:tc>
        <w:tc>
          <w:tcPr>
            <w:tcW w:w="1565" w:type="dxa"/>
          </w:tcPr>
          <w:p w14:paraId="223E04FA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 s</w:t>
            </w:r>
          </w:p>
        </w:tc>
        <w:tc>
          <w:tcPr>
            <w:tcW w:w="1440" w:type="dxa"/>
          </w:tcPr>
          <w:p w14:paraId="4051B3C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~60%</w:t>
            </w:r>
          </w:p>
          <w:p w14:paraId="196B962B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4F6CA92A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16A29D48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272ED4BF" w14:textId="77777777" w:rsidTr="003304D1">
        <w:tc>
          <w:tcPr>
            <w:tcW w:w="1400" w:type="dxa"/>
          </w:tcPr>
          <w:p w14:paraId="67785383" w14:textId="77777777" w:rsidR="00326741" w:rsidRPr="00167CA0" w:rsidRDefault="00326741" w:rsidP="003304D1">
            <w:pPr>
              <w:jc w:val="both"/>
            </w:pPr>
            <w:r w:rsidRPr="00167CA0">
              <w:t>Zyxin</w:t>
            </w:r>
          </w:p>
        </w:tc>
        <w:tc>
          <w:tcPr>
            <w:tcW w:w="1565" w:type="dxa"/>
          </w:tcPr>
          <w:p w14:paraId="0E28AA13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 s</w:t>
            </w:r>
          </w:p>
          <w:p w14:paraId="49115A71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</w:tcPr>
          <w:p w14:paraId="39C77C17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  <w:p w14:paraId="34F04C6F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01B0FC25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7DC5C54B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</w:tc>
      </w:tr>
      <w:tr w:rsidR="00326741" w14:paraId="664516B2" w14:textId="77777777" w:rsidTr="003304D1">
        <w:tc>
          <w:tcPr>
            <w:tcW w:w="1400" w:type="dxa"/>
          </w:tcPr>
          <w:p w14:paraId="4AA46F97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w:r w:rsidRPr="00167CA0">
              <w:t>Zyxin</w:t>
            </w:r>
          </w:p>
        </w:tc>
        <w:tc>
          <w:tcPr>
            <w:tcW w:w="1565" w:type="dxa"/>
          </w:tcPr>
          <w:p w14:paraId="2159C348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± 2.5 s</w:t>
            </w:r>
          </w:p>
          <w:p w14:paraId="0BA56951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63C5F8D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~75%</w:t>
            </w:r>
          </w:p>
          <w:p w14:paraId="3CE7C3E5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2252EABB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Pasapera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2010</w:t>
            </w:r>
          </w:p>
        </w:tc>
        <w:tc>
          <w:tcPr>
            <w:tcW w:w="2425" w:type="dxa"/>
          </w:tcPr>
          <w:p w14:paraId="6203C6CC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3; MEF on FN</w:t>
            </w:r>
          </w:p>
          <w:p w14:paraId="45EE6929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26741" w14:paraId="08FB9736" w14:textId="77777777" w:rsidTr="003304D1">
        <w:tc>
          <w:tcPr>
            <w:tcW w:w="1400" w:type="dxa"/>
          </w:tcPr>
          <w:p w14:paraId="03848B7A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w:r w:rsidRPr="00167CA0">
              <w:t>Zyxin</w:t>
            </w:r>
          </w:p>
        </w:tc>
        <w:tc>
          <w:tcPr>
            <w:tcW w:w="1565" w:type="dxa"/>
          </w:tcPr>
          <w:p w14:paraId="0EE76E83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9.4 s</w:t>
            </w:r>
          </w:p>
          <w:p w14:paraId="5F874AFD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</w:tcPr>
          <w:p w14:paraId="6454BCFA" w14:textId="77777777" w:rsidR="00326741" w:rsidRPr="00167CA0" w:rsidRDefault="00326741" w:rsidP="003304D1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~80%</w:t>
            </w:r>
          </w:p>
        </w:tc>
        <w:tc>
          <w:tcPr>
            <w:tcW w:w="2520" w:type="dxa"/>
          </w:tcPr>
          <w:p w14:paraId="21E2A055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0E2DAABC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3816D7D3" w14:textId="77777777" w:rsidTr="003304D1">
        <w:tc>
          <w:tcPr>
            <w:tcW w:w="1400" w:type="dxa"/>
          </w:tcPr>
          <w:p w14:paraId="36E4ACD6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p130Cas</w:t>
            </w:r>
          </w:p>
        </w:tc>
        <w:tc>
          <w:tcPr>
            <w:tcW w:w="1565" w:type="dxa"/>
          </w:tcPr>
          <w:p w14:paraId="7DC76CBF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 s</w:t>
            </w:r>
          </w:p>
          <w:p w14:paraId="66A3E7E0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39036C65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~70%</w:t>
            </w:r>
          </w:p>
          <w:p w14:paraId="5362275F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778D48B1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022A9EB3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399608C6" w14:textId="77777777" w:rsidTr="003304D1">
        <w:tc>
          <w:tcPr>
            <w:tcW w:w="1400" w:type="dxa"/>
          </w:tcPr>
          <w:p w14:paraId="5F62863B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p130Cas</w:t>
            </w:r>
          </w:p>
        </w:tc>
        <w:tc>
          <w:tcPr>
            <w:tcW w:w="1565" w:type="dxa"/>
          </w:tcPr>
          <w:p w14:paraId="61C46856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 ± 0.5 s</w:t>
            </w:r>
          </w:p>
          <w:p w14:paraId="46E3A274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25DC159B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~80%</w:t>
            </w:r>
          </w:p>
          <w:p w14:paraId="0735B081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31C10C7F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al, Scientific Reports, 2017</w:t>
            </w:r>
          </w:p>
        </w:tc>
        <w:tc>
          <w:tcPr>
            <w:tcW w:w="2425" w:type="dxa"/>
          </w:tcPr>
          <w:p w14:paraId="5609307D" w14:textId="77777777" w:rsidR="00326741" w:rsidRPr="00167CA0" w:rsidRDefault="00326741" w:rsidP="003304D1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Figure 2C; Cas-/- MEFs on FN</w:t>
            </w:r>
          </w:p>
        </w:tc>
      </w:tr>
      <w:tr w:rsidR="00326741" w14:paraId="34698BF0" w14:textId="77777777" w:rsidTr="003304D1">
        <w:tc>
          <w:tcPr>
            <w:tcW w:w="1400" w:type="dxa"/>
          </w:tcPr>
          <w:p w14:paraId="4BDB53D8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p130Cas</w:t>
            </w:r>
          </w:p>
        </w:tc>
        <w:tc>
          <w:tcPr>
            <w:tcW w:w="1565" w:type="dxa"/>
          </w:tcPr>
          <w:p w14:paraId="382C5CFC" w14:textId="77777777" w:rsidR="00326741" w:rsidRPr="00167CA0" w:rsidRDefault="00326741" w:rsidP="003304D1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5.8 </w:t>
            </w:r>
            <w:proofErr w:type="gramStart"/>
            <w:r>
              <w:rPr>
                <w:rFonts w:ascii="Calibri" w:hAnsi="Calibri" w:cs="Calibri"/>
                <w:color w:val="000000"/>
              </w:rPr>
              <w:t>±  0.61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440" w:type="dxa"/>
          </w:tcPr>
          <w:p w14:paraId="18F80F62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~80%</w:t>
            </w:r>
          </w:p>
          <w:p w14:paraId="7F72E249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756019DB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Donato et al., JBC, 2010</w:t>
            </w:r>
          </w:p>
          <w:p w14:paraId="02CCD2D6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06C0FAFE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Figure 4B; Cas-/- MEFs on FN at edge of wounded cell monolayer</w:t>
            </w:r>
          </w:p>
        </w:tc>
      </w:tr>
      <w:tr w:rsidR="00326741" w14:paraId="15DDE9BE" w14:textId="77777777" w:rsidTr="003304D1">
        <w:tc>
          <w:tcPr>
            <w:tcW w:w="1400" w:type="dxa"/>
          </w:tcPr>
          <w:p w14:paraId="502A405B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w:r w:rsidRPr="00167CA0">
              <w:rPr>
                <w:b/>
                <w:bCs/>
              </w:rPr>
              <w:t>Kindlin</w:t>
            </w:r>
          </w:p>
        </w:tc>
        <w:tc>
          <w:tcPr>
            <w:tcW w:w="1565" w:type="dxa"/>
          </w:tcPr>
          <w:p w14:paraId="7FF3CD4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 s</w:t>
            </w:r>
          </w:p>
          <w:p w14:paraId="4716A8EE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4B5B9CC9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  <w:p w14:paraId="149A9B32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0A408E48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699F0DB6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</w:tc>
      </w:tr>
      <w:tr w:rsidR="00326741" w14:paraId="746874FA" w14:textId="77777777" w:rsidTr="003304D1">
        <w:tc>
          <w:tcPr>
            <w:tcW w:w="1400" w:type="dxa"/>
          </w:tcPr>
          <w:p w14:paraId="7D5CE3B4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Kindlin</w:t>
            </w:r>
          </w:p>
        </w:tc>
        <w:tc>
          <w:tcPr>
            <w:tcW w:w="1565" w:type="dxa"/>
          </w:tcPr>
          <w:p w14:paraId="6F986DB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23.3 s</w:t>
            </w:r>
          </w:p>
          <w:p w14:paraId="45B70DE1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1A9C5452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~65%</w:t>
            </w:r>
          </w:p>
          <w:p w14:paraId="7A5B909F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25C824D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  <w:p w14:paraId="0A3B0AEE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161EFB5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  <w:p w14:paraId="3D9E13C0" w14:textId="77777777" w:rsidR="00326741" w:rsidRPr="003B3ADF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26741" w14:paraId="4E19AD9B" w14:textId="77777777" w:rsidTr="003304D1">
        <w:tc>
          <w:tcPr>
            <w:tcW w:w="1400" w:type="dxa"/>
          </w:tcPr>
          <w:p w14:paraId="665C9EEB" w14:textId="77777777" w:rsidR="00326741" w:rsidRPr="00167CA0" w:rsidRDefault="00326741" w:rsidP="003304D1">
            <w:pPr>
              <w:jc w:val="both"/>
            </w:pPr>
            <w:r w:rsidRPr="00167CA0">
              <w:rPr>
                <w:b/>
                <w:bCs/>
              </w:rPr>
              <w:t>Paxillin</w:t>
            </w:r>
          </w:p>
        </w:tc>
        <w:tc>
          <w:tcPr>
            <w:tcW w:w="1565" w:type="dxa"/>
          </w:tcPr>
          <w:p w14:paraId="0A498035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 s</w:t>
            </w:r>
          </w:p>
          <w:p w14:paraId="40C814C5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</w:tcPr>
          <w:p w14:paraId="56D1A727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  <w:p w14:paraId="440657FD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426A5010" w14:textId="77777777" w:rsidR="00326741" w:rsidRPr="00167CA0" w:rsidRDefault="00326741" w:rsidP="003304D1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038E56C6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  <w:p w14:paraId="06A39F0F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26741" w14:paraId="1FD942A9" w14:textId="77777777" w:rsidTr="003304D1">
        <w:tc>
          <w:tcPr>
            <w:tcW w:w="1400" w:type="dxa"/>
          </w:tcPr>
          <w:p w14:paraId="4A260520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w:r w:rsidRPr="00167CA0">
              <w:rPr>
                <w:b/>
                <w:bCs/>
              </w:rPr>
              <w:t>Paxillin</w:t>
            </w:r>
          </w:p>
        </w:tc>
        <w:tc>
          <w:tcPr>
            <w:tcW w:w="1565" w:type="dxa"/>
          </w:tcPr>
          <w:p w14:paraId="2F9F7318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 s</w:t>
            </w:r>
          </w:p>
          <w:p w14:paraId="130F2ABA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47E6CE3A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~65%</w:t>
            </w:r>
          </w:p>
          <w:p w14:paraId="7C826ACC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32480B3F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10E44289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056FB58A" w14:textId="77777777" w:rsidTr="003304D1">
        <w:tc>
          <w:tcPr>
            <w:tcW w:w="1400" w:type="dxa"/>
          </w:tcPr>
          <w:p w14:paraId="6CDF0C68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w:r w:rsidRPr="00167CA0">
              <w:rPr>
                <w:b/>
                <w:bCs/>
              </w:rPr>
              <w:t>Paxillin</w:t>
            </w:r>
          </w:p>
        </w:tc>
        <w:tc>
          <w:tcPr>
            <w:tcW w:w="1565" w:type="dxa"/>
          </w:tcPr>
          <w:p w14:paraId="43EBE8C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± 5.9 s</w:t>
            </w:r>
          </w:p>
          <w:p w14:paraId="4C4D9220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56EBB72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~90%</w:t>
            </w:r>
          </w:p>
          <w:p w14:paraId="2BDF4C95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3089C70C" w14:textId="77777777" w:rsidR="00326741" w:rsidRPr="00167CA0" w:rsidRDefault="00326741" w:rsidP="003304D1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Pasapera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2010</w:t>
            </w:r>
          </w:p>
        </w:tc>
        <w:tc>
          <w:tcPr>
            <w:tcW w:w="2425" w:type="dxa"/>
          </w:tcPr>
          <w:p w14:paraId="30A5E5D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3; MEF on FN</w:t>
            </w:r>
          </w:p>
          <w:p w14:paraId="676E16DB" w14:textId="77777777" w:rsidR="00326741" w:rsidRPr="00167CA0" w:rsidRDefault="00326741" w:rsidP="003304D1">
            <w:pPr>
              <w:jc w:val="both"/>
            </w:pPr>
          </w:p>
        </w:tc>
      </w:tr>
      <w:tr w:rsidR="00326741" w14:paraId="5D32007F" w14:textId="77777777" w:rsidTr="003304D1">
        <w:tc>
          <w:tcPr>
            <w:tcW w:w="1400" w:type="dxa"/>
          </w:tcPr>
          <w:p w14:paraId="29942AC7" w14:textId="77777777" w:rsidR="00326741" w:rsidRPr="00167CA0" w:rsidRDefault="00326741" w:rsidP="003304D1">
            <w:pPr>
              <w:jc w:val="both"/>
              <w:rPr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β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1 </m:t>
              </m:r>
            </m:oMath>
            <w:r w:rsidRPr="00167CA0">
              <w:rPr>
                <w:b/>
                <w:bCs/>
              </w:rPr>
              <w:t>Integrin</w:t>
            </w:r>
          </w:p>
        </w:tc>
        <w:tc>
          <w:tcPr>
            <w:tcW w:w="1565" w:type="dxa"/>
          </w:tcPr>
          <w:p w14:paraId="3439DE4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 ± 2.5 s</w:t>
            </w:r>
          </w:p>
          <w:p w14:paraId="2B0FFB71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1F2DEEC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36.5 ± 3.2 %</w:t>
            </w:r>
          </w:p>
          <w:p w14:paraId="402D0747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1A7D0C3B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4A4AFA51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1c; NIH3T3 on FN</w:t>
            </w:r>
          </w:p>
          <w:p w14:paraId="3971C8D2" w14:textId="77777777" w:rsidR="00326741" w:rsidRPr="00167CA0" w:rsidRDefault="00326741" w:rsidP="003304D1">
            <w:pPr>
              <w:jc w:val="both"/>
            </w:pPr>
          </w:p>
        </w:tc>
      </w:tr>
      <w:tr w:rsidR="00326741" w14:paraId="0578550D" w14:textId="77777777" w:rsidTr="003304D1">
        <w:tc>
          <w:tcPr>
            <w:tcW w:w="1400" w:type="dxa"/>
          </w:tcPr>
          <w:p w14:paraId="6249EAAA" w14:textId="77777777" w:rsidR="00326741" w:rsidRPr="00167CA0" w:rsidRDefault="00326741" w:rsidP="003304D1">
            <w:pPr>
              <w:jc w:val="both"/>
            </w:pPr>
            <w:r>
              <w:t>ILK</w:t>
            </w:r>
          </w:p>
        </w:tc>
        <w:tc>
          <w:tcPr>
            <w:tcW w:w="1565" w:type="dxa"/>
          </w:tcPr>
          <w:p w14:paraId="48BC767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29.1 s</w:t>
            </w:r>
          </w:p>
          <w:p w14:paraId="011A877C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71CC4D0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~55%</w:t>
            </w:r>
          </w:p>
          <w:p w14:paraId="45B2F89B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7DF81E35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32ABD788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7562D1FC" w14:textId="77777777" w:rsidTr="003304D1">
        <w:tc>
          <w:tcPr>
            <w:tcW w:w="1400" w:type="dxa"/>
          </w:tcPr>
          <w:p w14:paraId="746382A0" w14:textId="77777777" w:rsidR="00326741" w:rsidRPr="00167CA0" w:rsidRDefault="00326741" w:rsidP="003304D1">
            <w:pPr>
              <w:jc w:val="both"/>
            </w:pPr>
            <w:r>
              <w:t>ILK</w:t>
            </w:r>
          </w:p>
        </w:tc>
        <w:tc>
          <w:tcPr>
            <w:tcW w:w="1565" w:type="dxa"/>
          </w:tcPr>
          <w:p w14:paraId="28972917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 s</w:t>
            </w:r>
          </w:p>
          <w:p w14:paraId="4A101FA9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679B7B19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  <w:p w14:paraId="52CE4CB7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4F61F221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7B92BA2B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  <w:p w14:paraId="46FD1030" w14:textId="77777777" w:rsidR="00326741" w:rsidRPr="00167CA0" w:rsidRDefault="00326741" w:rsidP="003304D1">
            <w:pPr>
              <w:jc w:val="both"/>
            </w:pPr>
          </w:p>
        </w:tc>
      </w:tr>
      <w:tr w:rsidR="00326741" w14:paraId="149F9D66" w14:textId="77777777" w:rsidTr="003304D1">
        <w:tc>
          <w:tcPr>
            <w:tcW w:w="1400" w:type="dxa"/>
          </w:tcPr>
          <w:p w14:paraId="6B1E9480" w14:textId="77777777" w:rsidR="00326741" w:rsidRPr="00167CA0" w:rsidRDefault="00326741" w:rsidP="003304D1">
            <w:pPr>
              <w:rPr>
                <w:b/>
                <w:bCs/>
              </w:rPr>
            </w:pPr>
            <w:proofErr w:type="spellStart"/>
            <w:r>
              <w:lastRenderedPageBreak/>
              <w:t>Talin</w:t>
            </w:r>
            <w:proofErr w:type="spellEnd"/>
          </w:p>
        </w:tc>
        <w:tc>
          <w:tcPr>
            <w:tcW w:w="1565" w:type="dxa"/>
          </w:tcPr>
          <w:p w14:paraId="0F33D855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 s</w:t>
            </w:r>
          </w:p>
          <w:p w14:paraId="52FEE2A9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174A469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  <w:p w14:paraId="1781BBA3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67080DF7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3B0CADF3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  <w:p w14:paraId="707A085C" w14:textId="77777777" w:rsidR="00326741" w:rsidRPr="00167CA0" w:rsidRDefault="00326741" w:rsidP="003304D1">
            <w:pPr>
              <w:jc w:val="both"/>
            </w:pPr>
          </w:p>
        </w:tc>
      </w:tr>
      <w:tr w:rsidR="00326741" w14:paraId="5E0DC98F" w14:textId="77777777" w:rsidTr="003304D1">
        <w:tc>
          <w:tcPr>
            <w:tcW w:w="1400" w:type="dxa"/>
          </w:tcPr>
          <w:p w14:paraId="4A65FBCA" w14:textId="77777777" w:rsidR="00326741" w:rsidRPr="00167CA0" w:rsidRDefault="00326741" w:rsidP="003304D1">
            <w:pPr>
              <w:jc w:val="both"/>
            </w:pPr>
            <w:proofErr w:type="spellStart"/>
            <w:r>
              <w:t>Talin</w:t>
            </w:r>
            <w:proofErr w:type="spellEnd"/>
          </w:p>
        </w:tc>
        <w:tc>
          <w:tcPr>
            <w:tcW w:w="1565" w:type="dxa"/>
          </w:tcPr>
          <w:p w14:paraId="457954E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 ± 3.4 s</w:t>
            </w:r>
          </w:p>
          <w:p w14:paraId="5ABA86DE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40D4DCE6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~85%</w:t>
            </w:r>
          </w:p>
          <w:p w14:paraId="412B2CC3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3060FA13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Pasapera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2010</w:t>
            </w:r>
          </w:p>
        </w:tc>
        <w:tc>
          <w:tcPr>
            <w:tcW w:w="2425" w:type="dxa"/>
          </w:tcPr>
          <w:p w14:paraId="13667E73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3; MEF on FN</w:t>
            </w:r>
          </w:p>
        </w:tc>
      </w:tr>
      <w:tr w:rsidR="00326741" w14:paraId="08428E2A" w14:textId="77777777" w:rsidTr="003304D1">
        <w:tc>
          <w:tcPr>
            <w:tcW w:w="1400" w:type="dxa"/>
          </w:tcPr>
          <w:p w14:paraId="51FA4D3D" w14:textId="77777777" w:rsidR="00326741" w:rsidRPr="00167CA0" w:rsidRDefault="00326741" w:rsidP="003304D1">
            <w:pPr>
              <w:jc w:val="both"/>
            </w:pPr>
            <w:proofErr w:type="spellStart"/>
            <w:r>
              <w:t>Talin</w:t>
            </w:r>
            <w:proofErr w:type="spellEnd"/>
          </w:p>
        </w:tc>
        <w:tc>
          <w:tcPr>
            <w:tcW w:w="1565" w:type="dxa"/>
          </w:tcPr>
          <w:p w14:paraId="0A71F248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 s</w:t>
            </w:r>
          </w:p>
          <w:p w14:paraId="506874D2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52566CC3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~50%</w:t>
            </w:r>
          </w:p>
          <w:p w14:paraId="589751D3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402AF57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  <w:p w14:paraId="4B1728E6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5288DD8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  <w:p w14:paraId="67A6E240" w14:textId="77777777" w:rsidR="00326741" w:rsidRPr="00167CA0" w:rsidRDefault="00326741" w:rsidP="003304D1">
            <w:pPr>
              <w:jc w:val="both"/>
            </w:pPr>
          </w:p>
        </w:tc>
      </w:tr>
      <w:tr w:rsidR="00326741" w14:paraId="60EBF969" w14:textId="77777777" w:rsidTr="003304D1">
        <w:tc>
          <w:tcPr>
            <w:tcW w:w="1400" w:type="dxa"/>
          </w:tcPr>
          <w:p w14:paraId="7C549DB9" w14:textId="77777777" w:rsidR="00326741" w:rsidRPr="00167CA0" w:rsidRDefault="00326741" w:rsidP="003304D1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oMath>
            <w:r>
              <w:rPr>
                <w:iCs/>
              </w:rPr>
              <w:t>-Parvin</w:t>
            </w:r>
          </w:p>
        </w:tc>
        <w:tc>
          <w:tcPr>
            <w:tcW w:w="1565" w:type="dxa"/>
          </w:tcPr>
          <w:p w14:paraId="5533B273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26.0 s</w:t>
            </w:r>
          </w:p>
          <w:p w14:paraId="3B51C383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4AC65B58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~55%</w:t>
            </w:r>
          </w:p>
          <w:p w14:paraId="36AB283E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5F33B43A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5D960FE0" w14:textId="77777777" w:rsidR="00326741" w:rsidRPr="00167CA0" w:rsidRDefault="00326741" w:rsidP="003304D1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5BB8C5A0" w14:textId="77777777" w:rsidTr="003304D1">
        <w:tc>
          <w:tcPr>
            <w:tcW w:w="1400" w:type="dxa"/>
          </w:tcPr>
          <w:p w14:paraId="57CC26B5" w14:textId="77777777" w:rsidR="00326741" w:rsidRPr="00167CA0" w:rsidRDefault="00326741" w:rsidP="003304D1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oMath>
            <w:r>
              <w:rPr>
                <w:iCs/>
              </w:rPr>
              <w:t>-Actinin</w:t>
            </w:r>
          </w:p>
        </w:tc>
        <w:tc>
          <w:tcPr>
            <w:tcW w:w="1565" w:type="dxa"/>
          </w:tcPr>
          <w:p w14:paraId="4DF5C75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29.6 s</w:t>
            </w:r>
          </w:p>
          <w:p w14:paraId="68EE4447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17BE3D8C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~75%</w:t>
            </w:r>
          </w:p>
          <w:p w14:paraId="784BF0F5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1467E3B0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70969400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0BA7CE7B" w14:textId="77777777" w:rsidTr="003304D1">
        <w:tc>
          <w:tcPr>
            <w:tcW w:w="1400" w:type="dxa"/>
          </w:tcPr>
          <w:p w14:paraId="5A826E41" w14:textId="77777777" w:rsidR="00326741" w:rsidRPr="00167CA0" w:rsidRDefault="00326741" w:rsidP="003304D1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oMath>
            <w:r>
              <w:rPr>
                <w:iCs/>
              </w:rPr>
              <w:t>-Actinin</w:t>
            </w:r>
          </w:p>
        </w:tc>
        <w:tc>
          <w:tcPr>
            <w:tcW w:w="1565" w:type="dxa"/>
          </w:tcPr>
          <w:p w14:paraId="58CC995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± 0.5 s</w:t>
            </w:r>
          </w:p>
          <w:p w14:paraId="3C247840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5E260591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~85%</w:t>
            </w:r>
          </w:p>
          <w:p w14:paraId="73B06F1A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52A33A12" w14:textId="77777777" w:rsidR="00326741" w:rsidRPr="00167CA0" w:rsidRDefault="00326741" w:rsidP="003304D1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Pasapera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2010</w:t>
            </w:r>
          </w:p>
        </w:tc>
        <w:tc>
          <w:tcPr>
            <w:tcW w:w="2425" w:type="dxa"/>
          </w:tcPr>
          <w:p w14:paraId="5AF7A7AB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3; MEF on FN</w:t>
            </w:r>
          </w:p>
          <w:p w14:paraId="69E830DF" w14:textId="77777777" w:rsidR="00326741" w:rsidRPr="00167CA0" w:rsidRDefault="00326741" w:rsidP="003304D1">
            <w:pPr>
              <w:jc w:val="both"/>
            </w:pPr>
          </w:p>
        </w:tc>
      </w:tr>
      <w:tr w:rsidR="00326741" w14:paraId="4CE43DB6" w14:textId="77777777" w:rsidTr="003304D1">
        <w:tc>
          <w:tcPr>
            <w:tcW w:w="1400" w:type="dxa"/>
          </w:tcPr>
          <w:p w14:paraId="3FA8F4A3" w14:textId="77777777" w:rsidR="00326741" w:rsidRPr="00167CA0" w:rsidRDefault="00326741" w:rsidP="003304D1">
            <w:pPr>
              <w:jc w:val="both"/>
              <w:rPr>
                <w:iCs/>
              </w:rPr>
            </w:pPr>
            <w:r>
              <w:t>Vinculin</w:t>
            </w:r>
          </w:p>
        </w:tc>
        <w:tc>
          <w:tcPr>
            <w:tcW w:w="1565" w:type="dxa"/>
          </w:tcPr>
          <w:p w14:paraId="4FBDF4A5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 s</w:t>
            </w:r>
          </w:p>
          <w:p w14:paraId="455F3934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712262D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  <w:p w14:paraId="4F37DCD4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2D1F865C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Lavelin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</w:t>
            </w:r>
            <w:proofErr w:type="spellStart"/>
            <w:r>
              <w:rPr>
                <w:rFonts w:ascii="Calibri" w:hAnsi="Calibri" w:cs="Calibri"/>
                <w:color w:val="000000"/>
              </w:rPr>
              <w:t>PLoSOne</w:t>
            </w:r>
            <w:proofErr w:type="spellEnd"/>
            <w:r>
              <w:rPr>
                <w:rFonts w:ascii="Calibri" w:hAnsi="Calibri" w:cs="Calibri"/>
                <w:color w:val="000000"/>
              </w:rPr>
              <w:t>, 2013</w:t>
            </w:r>
          </w:p>
        </w:tc>
        <w:tc>
          <w:tcPr>
            <w:tcW w:w="2425" w:type="dxa"/>
          </w:tcPr>
          <w:p w14:paraId="2D724CFE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7; Hela Cells on FN</w:t>
            </w:r>
          </w:p>
          <w:p w14:paraId="15007063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26741" w14:paraId="29B1B26C" w14:textId="77777777" w:rsidTr="003304D1">
        <w:tc>
          <w:tcPr>
            <w:tcW w:w="1400" w:type="dxa"/>
          </w:tcPr>
          <w:p w14:paraId="6B204E59" w14:textId="77777777" w:rsidR="00326741" w:rsidRPr="00167CA0" w:rsidRDefault="00326741" w:rsidP="003304D1">
            <w:pPr>
              <w:jc w:val="both"/>
            </w:pPr>
            <w:r>
              <w:t>Vinculin</w:t>
            </w:r>
          </w:p>
        </w:tc>
        <w:tc>
          <w:tcPr>
            <w:tcW w:w="1565" w:type="dxa"/>
          </w:tcPr>
          <w:p w14:paraId="516AA75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39.8 s</w:t>
            </w:r>
          </w:p>
          <w:p w14:paraId="03A37E85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32395EBA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~70%</w:t>
            </w:r>
          </w:p>
          <w:p w14:paraId="5DF3D811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6EB4DD7D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  <w:p w14:paraId="2BA1F208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7ECEECDA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  <w:p w14:paraId="63616021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26741" w14:paraId="3ED5CEEB" w14:textId="77777777" w:rsidTr="003304D1">
        <w:tc>
          <w:tcPr>
            <w:tcW w:w="1400" w:type="dxa"/>
          </w:tcPr>
          <w:p w14:paraId="2116AA4F" w14:textId="77777777" w:rsidR="00326741" w:rsidRPr="00167CA0" w:rsidRDefault="00326741" w:rsidP="003304D1">
            <w:pPr>
              <w:jc w:val="both"/>
            </w:pPr>
            <w:r>
              <w:t>Vinculin</w:t>
            </w:r>
          </w:p>
        </w:tc>
        <w:tc>
          <w:tcPr>
            <w:tcW w:w="1565" w:type="dxa"/>
          </w:tcPr>
          <w:p w14:paraId="7D9060B4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± 2.9 s</w:t>
            </w:r>
          </w:p>
          <w:p w14:paraId="26DAC896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324DEB40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~70%</w:t>
            </w:r>
          </w:p>
          <w:p w14:paraId="7246B809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1E0F1D8B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Pasapera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JCB, 2010</w:t>
            </w:r>
          </w:p>
        </w:tc>
        <w:tc>
          <w:tcPr>
            <w:tcW w:w="2425" w:type="dxa"/>
          </w:tcPr>
          <w:p w14:paraId="44ED231B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Fig. 3; MEF on FN</w:t>
            </w:r>
          </w:p>
          <w:p w14:paraId="586892D5" w14:textId="77777777" w:rsidR="00326741" w:rsidRPr="00167CA0" w:rsidRDefault="00326741" w:rsidP="003304D1">
            <w:pPr>
              <w:jc w:val="both"/>
            </w:pPr>
          </w:p>
        </w:tc>
      </w:tr>
      <w:tr w:rsidR="00326741" w14:paraId="4DAFCF65" w14:textId="77777777" w:rsidTr="003304D1">
        <w:tc>
          <w:tcPr>
            <w:tcW w:w="1400" w:type="dxa"/>
          </w:tcPr>
          <w:p w14:paraId="2B6FE989" w14:textId="77777777" w:rsidR="00326741" w:rsidRPr="00167CA0" w:rsidRDefault="00326741" w:rsidP="003304D1">
            <w:pPr>
              <w:jc w:val="both"/>
            </w:pPr>
            <w:proofErr w:type="spellStart"/>
            <w:r>
              <w:t>Tensin</w:t>
            </w:r>
            <w:proofErr w:type="spellEnd"/>
          </w:p>
        </w:tc>
        <w:tc>
          <w:tcPr>
            <w:tcW w:w="1565" w:type="dxa"/>
          </w:tcPr>
          <w:p w14:paraId="7F5EF047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59.0 s</w:t>
            </w:r>
          </w:p>
          <w:p w14:paraId="7834C6E1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1BBEA5F1" w14:textId="77777777" w:rsidR="00326741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~60%</w:t>
            </w:r>
          </w:p>
          <w:p w14:paraId="7BF0E04B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62D9A3F7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Stutchbury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 al., JCS, 2017</w:t>
            </w:r>
          </w:p>
        </w:tc>
        <w:tc>
          <w:tcPr>
            <w:tcW w:w="2425" w:type="dxa"/>
          </w:tcPr>
          <w:p w14:paraId="52742B59" w14:textId="77777777" w:rsidR="00326741" w:rsidRPr="00167CA0" w:rsidRDefault="00326741" w:rsidP="003304D1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Fig 1b + S1a; NIH3T3 on FN</w:t>
            </w:r>
          </w:p>
        </w:tc>
      </w:tr>
      <w:tr w:rsidR="00326741" w14:paraId="3D6C4415" w14:textId="77777777" w:rsidTr="003304D1">
        <w:tc>
          <w:tcPr>
            <w:tcW w:w="1400" w:type="dxa"/>
          </w:tcPr>
          <w:p w14:paraId="6CB43C44" w14:textId="77777777" w:rsidR="00326741" w:rsidRPr="00167CA0" w:rsidRDefault="00326741" w:rsidP="003304D1">
            <w:pPr>
              <w:jc w:val="both"/>
            </w:pPr>
          </w:p>
        </w:tc>
        <w:tc>
          <w:tcPr>
            <w:tcW w:w="1565" w:type="dxa"/>
          </w:tcPr>
          <w:p w14:paraId="5978F017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0F9F9812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7899ABB9" w14:textId="77777777" w:rsidR="00326741" w:rsidRPr="00167CA0" w:rsidRDefault="00326741" w:rsidP="003304D1">
            <w:pPr>
              <w:jc w:val="both"/>
            </w:pPr>
          </w:p>
        </w:tc>
        <w:tc>
          <w:tcPr>
            <w:tcW w:w="2425" w:type="dxa"/>
          </w:tcPr>
          <w:p w14:paraId="3A5DD976" w14:textId="77777777" w:rsidR="00326741" w:rsidRPr="00167CA0" w:rsidRDefault="00326741" w:rsidP="003304D1">
            <w:pPr>
              <w:jc w:val="both"/>
            </w:pPr>
          </w:p>
        </w:tc>
      </w:tr>
      <w:tr w:rsidR="00326741" w14:paraId="3827F14E" w14:textId="77777777" w:rsidTr="003304D1">
        <w:tc>
          <w:tcPr>
            <w:tcW w:w="1400" w:type="dxa"/>
          </w:tcPr>
          <w:p w14:paraId="7D7CA6A7" w14:textId="77777777" w:rsidR="00326741" w:rsidRPr="00167CA0" w:rsidRDefault="00326741" w:rsidP="003304D1">
            <w:pPr>
              <w:jc w:val="both"/>
            </w:pPr>
          </w:p>
        </w:tc>
        <w:tc>
          <w:tcPr>
            <w:tcW w:w="1565" w:type="dxa"/>
          </w:tcPr>
          <w:p w14:paraId="32124A62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02BC52DE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0DC3CA25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2B2EA977" w14:textId="77777777" w:rsidR="00326741" w:rsidRPr="00167CA0" w:rsidRDefault="00326741" w:rsidP="003304D1">
            <w:pPr>
              <w:jc w:val="both"/>
            </w:pPr>
          </w:p>
        </w:tc>
      </w:tr>
      <w:tr w:rsidR="00326741" w14:paraId="595C106D" w14:textId="77777777" w:rsidTr="003304D1">
        <w:tc>
          <w:tcPr>
            <w:tcW w:w="1400" w:type="dxa"/>
          </w:tcPr>
          <w:p w14:paraId="6F610437" w14:textId="77777777" w:rsidR="00326741" w:rsidRPr="00167CA0" w:rsidRDefault="00326741" w:rsidP="003304D1">
            <w:pPr>
              <w:jc w:val="both"/>
            </w:pPr>
          </w:p>
        </w:tc>
        <w:tc>
          <w:tcPr>
            <w:tcW w:w="1565" w:type="dxa"/>
          </w:tcPr>
          <w:p w14:paraId="77EBABBC" w14:textId="77777777" w:rsidR="00326741" w:rsidRPr="00167CA0" w:rsidRDefault="00326741" w:rsidP="003304D1">
            <w:pPr>
              <w:jc w:val="both"/>
            </w:pPr>
          </w:p>
        </w:tc>
        <w:tc>
          <w:tcPr>
            <w:tcW w:w="1440" w:type="dxa"/>
          </w:tcPr>
          <w:p w14:paraId="272851F2" w14:textId="77777777" w:rsidR="00326741" w:rsidRPr="00167CA0" w:rsidRDefault="00326741" w:rsidP="003304D1">
            <w:pPr>
              <w:jc w:val="both"/>
            </w:pPr>
          </w:p>
        </w:tc>
        <w:tc>
          <w:tcPr>
            <w:tcW w:w="2520" w:type="dxa"/>
          </w:tcPr>
          <w:p w14:paraId="50DC7420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5" w:type="dxa"/>
          </w:tcPr>
          <w:p w14:paraId="345FC6D8" w14:textId="77777777" w:rsidR="00326741" w:rsidRPr="00907732" w:rsidRDefault="00326741" w:rsidP="003304D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EBBC38D" w14:textId="77777777" w:rsidR="00DF1715" w:rsidRDefault="00DF1715"/>
    <w:sectPr w:rsidR="00DF1715" w:rsidSect="00A6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1"/>
    <w:rsid w:val="000123C7"/>
    <w:rsid w:val="000D41C2"/>
    <w:rsid w:val="00154AC8"/>
    <w:rsid w:val="00186C22"/>
    <w:rsid w:val="0023234A"/>
    <w:rsid w:val="00326741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8493F"/>
    <w:rsid w:val="007A37F2"/>
    <w:rsid w:val="007E40F6"/>
    <w:rsid w:val="00846501"/>
    <w:rsid w:val="00894D64"/>
    <w:rsid w:val="00937F7C"/>
    <w:rsid w:val="009D389A"/>
    <w:rsid w:val="00A04B1A"/>
    <w:rsid w:val="00A66917"/>
    <w:rsid w:val="00AA7834"/>
    <w:rsid w:val="00B335D6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DAA02"/>
  <w15:chartTrackingRefBased/>
  <w15:docId w15:val="{722D368D-5C47-D64E-B6DC-B5B29DC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1946</Characters>
  <Application>Microsoft Office Word</Application>
  <DocSecurity>0</DocSecurity>
  <Lines>45</Lines>
  <Paragraphs>15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2</cp:revision>
  <dcterms:created xsi:type="dcterms:W3CDTF">2021-12-27T20:26:00Z</dcterms:created>
  <dcterms:modified xsi:type="dcterms:W3CDTF">2021-12-27T20:28:00Z</dcterms:modified>
</cp:coreProperties>
</file>