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EC42" w14:textId="77777777" w:rsidR="00D87BBE" w:rsidRPr="00366593" w:rsidRDefault="00D87BBE" w:rsidP="00D87BBE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6593">
        <w:rPr>
          <w:rFonts w:ascii="Times New Roman" w:eastAsia="Times New Roman" w:hAnsi="Times New Roman" w:cs="Times New Roman"/>
          <w:sz w:val="22"/>
          <w:szCs w:val="22"/>
        </w:rPr>
        <w:t>Table S1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Priors for each of the parameters in the Beta Function for each of the different (</w:t>
      </w:r>
      <w:r w:rsidRPr="00DA54C4">
        <w:rPr>
          <w:rFonts w:ascii="Times New Roman" w:eastAsia="Times New Roman" w:hAnsi="Times New Roman" w:cs="Times New Roman"/>
          <w:i/>
          <w:iCs/>
          <w:sz w:val="22"/>
          <w:szCs w:val="22"/>
        </w:rPr>
        <w:t>j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>) temperature regimes (constant, fluctuating, heatwave) and life history traits (infection rate, spore burden, reproductive output)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which were all drawn from the uniform distribution with specified limits. Priors for the minimum, optimal and maximum temperature satisfy the necessary condition </w:t>
      </w:r>
      <w:proofErr w:type="spellStart"/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min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>≤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opt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>≤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max</w:t>
      </w:r>
      <w:proofErr w:type="spellEnd"/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and were informed by previous work (Kirk et al., 2018, 2019). Priors for the scaling parameter 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F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were restricted to be positive and less than ten on the log10 scale for both spore burden and host reproductive output and between 0 and 1 for infection rates. A Poisson likelihood was used for the observed reproductive output of the host and spore burden and the rate parameter </w:t>
      </w:r>
      <w:r w:rsidRPr="00366593">
        <w:rPr>
          <w:rFonts w:ascii="Cambria Math" w:eastAsia="Times New Roman" w:hAnsi="Cambria Math" w:cs="Cambria Math"/>
          <w:sz w:val="22"/>
          <w:szCs w:val="22"/>
        </w:rPr>
        <w:t>𝜆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was modelled as a function of temperature with a log link function, with different parameter values for each of the three temperature regimes. For infection rates we used a similar approach but using a binomial likelihood where the probability </w:t>
      </w:r>
      <w:r w:rsidRPr="00366593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was estimated from the </w:t>
      </w:r>
      <w:r>
        <w:rPr>
          <w:rFonts w:ascii="Times New Roman" w:eastAsia="Times New Roman" w:hAnsi="Times New Roman" w:cs="Times New Roman"/>
          <w:sz w:val="22"/>
          <w:szCs w:val="22"/>
        </w:rPr>
        <w:t>B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eta </w:t>
      </w:r>
      <w:r>
        <w:rPr>
          <w:rFonts w:ascii="Times New Roman" w:eastAsia="Times New Roman" w:hAnsi="Times New Roman" w:cs="Times New Roman"/>
          <w:sz w:val="22"/>
          <w:szCs w:val="22"/>
        </w:rPr>
        <w:t>F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unction constrained so that 0 ≤ </w:t>
      </w:r>
      <w:r w:rsidRPr="00366593">
        <w:rPr>
          <w:rFonts w:ascii="Times New Roman" w:eastAsia="Times New Roman" w:hAnsi="Times New Roman" w:cs="Times New Roman"/>
          <w:i/>
          <w:iCs/>
          <w:sz w:val="22"/>
          <w:szCs w:val="22"/>
        </w:rPr>
        <w:t>p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≤ 1 and </w:t>
      </w:r>
      <w:r w:rsidRPr="00366593">
        <w:rPr>
          <w:rFonts w:ascii="Times New Roman" w:eastAsia="Times New Roman" w:hAnsi="Times New Roman" w:cs="Times New Roman"/>
          <w:i/>
          <w:iCs/>
          <w:sz w:val="22"/>
          <w:szCs w:val="22"/>
        </w:rPr>
        <w:t>N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was the number of </w:t>
      </w:r>
      <w:r w:rsidRPr="00366593">
        <w:rPr>
          <w:rFonts w:ascii="Times New Roman" w:eastAsia="Times New Roman" w:hAnsi="Times New Roman" w:cs="Times New Roman"/>
          <w:i/>
          <w:iCs/>
          <w:sz w:val="22"/>
          <w:szCs w:val="22"/>
        </w:rPr>
        <w:t>Daphnia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in each </w:t>
      </w:r>
      <w:r>
        <w:rPr>
          <w:rFonts w:ascii="Times New Roman" w:eastAsia="Times New Roman" w:hAnsi="Times New Roman" w:cs="Times New Roman"/>
          <w:sz w:val="22"/>
          <w:szCs w:val="22"/>
        </w:rPr>
        <w:t>temperature regime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>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2910"/>
        <w:gridCol w:w="2527"/>
        <w:gridCol w:w="2696"/>
      </w:tblGrid>
      <w:tr w:rsidR="00D87BBE" w:rsidRPr="00366593" w14:paraId="7559DEBB" w14:textId="77777777" w:rsidTr="007F634C"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0F728249" w14:textId="77777777" w:rsidR="00D87BBE" w:rsidRPr="00DA54C4" w:rsidRDefault="00D87BBE" w:rsidP="007F634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DA54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arameter</w: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</w:tcPr>
          <w:p w14:paraId="36FCE9FC" w14:textId="77777777" w:rsidR="00D87BBE" w:rsidRPr="00DA54C4" w:rsidRDefault="00D87BBE" w:rsidP="007F634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A54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Infection rate </w:t>
            </w:r>
          </w:p>
          <w:p w14:paraId="1FA93C9E" w14:textId="77777777" w:rsidR="00D87BBE" w:rsidRPr="00DA54C4" w:rsidRDefault="00D87BBE" w:rsidP="007F634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A54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(min, max)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14:paraId="3A874B98" w14:textId="77777777" w:rsidR="00D87BBE" w:rsidRPr="00DA54C4" w:rsidRDefault="00D87BBE" w:rsidP="007F634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A54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Spore burden</w:t>
            </w:r>
          </w:p>
          <w:p w14:paraId="736BEA05" w14:textId="77777777" w:rsidR="00D87BBE" w:rsidRPr="00DA54C4" w:rsidRDefault="00D87BBE" w:rsidP="007F634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A54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(min, max)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0DFDBFED" w14:textId="77777777" w:rsidR="00D87BBE" w:rsidRPr="00DA54C4" w:rsidRDefault="00D87BBE" w:rsidP="007F634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A54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Host reproductive output</w:t>
            </w:r>
          </w:p>
          <w:p w14:paraId="5AB88F2F" w14:textId="77777777" w:rsidR="00D87BBE" w:rsidRPr="00DA54C4" w:rsidRDefault="00D87BBE" w:rsidP="007F634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A54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(min, max)</w:t>
            </w:r>
          </w:p>
        </w:tc>
      </w:tr>
      <w:tr w:rsidR="00D87BBE" w:rsidRPr="00366593" w14:paraId="66CAC966" w14:textId="77777777" w:rsidTr="007F634C">
        <w:tc>
          <w:tcPr>
            <w:tcW w:w="1190" w:type="dxa"/>
            <w:tcBorders>
              <w:top w:val="single" w:sz="4" w:space="0" w:color="auto"/>
            </w:tcBorders>
          </w:tcPr>
          <w:p w14:paraId="13C291EA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F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  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2921" w:type="dxa"/>
            <w:tcBorders>
              <w:top w:val="single" w:sz="4" w:space="0" w:color="auto"/>
            </w:tcBorders>
          </w:tcPr>
          <w:p w14:paraId="2A6479BA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6B9EA57E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14:paraId="403FB335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0,10</w:t>
            </w:r>
          </w:p>
        </w:tc>
      </w:tr>
      <w:tr w:rsidR="00D87BBE" w:rsidRPr="00366593" w14:paraId="0F63C414" w14:textId="77777777" w:rsidTr="007F634C">
        <w:tc>
          <w:tcPr>
            <w:tcW w:w="1190" w:type="dxa"/>
          </w:tcPr>
          <w:p w14:paraId="0C9D4365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2921" w:type="dxa"/>
          </w:tcPr>
          <w:p w14:paraId="082F3E68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5, 15</w:t>
            </w:r>
          </w:p>
        </w:tc>
        <w:tc>
          <w:tcPr>
            <w:tcW w:w="2537" w:type="dxa"/>
          </w:tcPr>
          <w:p w14:paraId="1779BE8D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5,14</w:t>
            </w:r>
          </w:p>
        </w:tc>
        <w:tc>
          <w:tcPr>
            <w:tcW w:w="2703" w:type="dxa"/>
          </w:tcPr>
          <w:p w14:paraId="348FE57D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0,14</w:t>
            </w:r>
          </w:p>
        </w:tc>
      </w:tr>
      <w:tr w:rsidR="00D87BBE" w:rsidRPr="00366593" w14:paraId="2FF3B62F" w14:textId="77777777" w:rsidTr="007F634C">
        <w:tc>
          <w:tcPr>
            <w:tcW w:w="1190" w:type="dxa"/>
          </w:tcPr>
          <w:p w14:paraId="0165FAAD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2921" w:type="dxa"/>
          </w:tcPr>
          <w:p w14:paraId="404E764B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] + 0, </w:t>
            </w: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 + 20</w:t>
            </w:r>
          </w:p>
        </w:tc>
        <w:tc>
          <w:tcPr>
            <w:tcW w:w="2537" w:type="dxa"/>
          </w:tcPr>
          <w:p w14:paraId="1D1D04F9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 + 0,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 + 10</w:t>
            </w:r>
          </w:p>
        </w:tc>
        <w:tc>
          <w:tcPr>
            <w:tcW w:w="2703" w:type="dxa"/>
          </w:tcPr>
          <w:p w14:paraId="7D548EB5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 + 0,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 + 25</w:t>
            </w:r>
          </w:p>
        </w:tc>
      </w:tr>
      <w:tr w:rsidR="00D87BBE" w:rsidRPr="00366593" w14:paraId="0395CC48" w14:textId="77777777" w:rsidTr="007F634C">
        <w:tc>
          <w:tcPr>
            <w:tcW w:w="1190" w:type="dxa"/>
            <w:tcBorders>
              <w:bottom w:val="single" w:sz="4" w:space="0" w:color="auto"/>
            </w:tcBorders>
          </w:tcPr>
          <w:p w14:paraId="33A0E970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max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14:paraId="3F2848A7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 w:rsidRPr="0036659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+ 0, 35  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0777F5C7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] + 0, 30  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201C953B" w14:textId="77777777" w:rsidR="00D87BBE" w:rsidRPr="00366593" w:rsidRDefault="00D87BBE" w:rsidP="007F634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  <w:r w:rsidRPr="0036659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vertAlign w:val="subscript"/>
              </w:rPr>
              <w:t xml:space="preserve"> 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 w:rsidRPr="00DA5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j</w:t>
            </w: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] + 0, 40  </w:t>
            </w:r>
          </w:p>
        </w:tc>
      </w:tr>
    </w:tbl>
    <w:p w14:paraId="24CAA373" w14:textId="77777777" w:rsidR="00D87BBE" w:rsidRPr="00366593" w:rsidRDefault="00D87BBE" w:rsidP="00D87BBE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5DE558" w14:textId="77777777" w:rsidR="00A63E05" w:rsidRDefault="00A63E05"/>
    <w:sectPr w:rsidR="00A63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BE"/>
    <w:rsid w:val="00A63E05"/>
    <w:rsid w:val="00D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C0BA"/>
  <w15:chartTrackingRefBased/>
  <w15:docId w15:val="{38B315C4-2917-42BE-9BC0-92CAA59A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BE"/>
    <w:pPr>
      <w:spacing w:after="0" w:line="240" w:lineRule="auto"/>
    </w:pPr>
    <w:rPr>
      <w:rFonts w:eastAsia="Cambria"/>
      <w:sz w:val="28"/>
      <w:szCs w:val="2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BE"/>
    <w:pPr>
      <w:spacing w:after="0" w:line="240" w:lineRule="auto"/>
    </w:pPr>
    <w:rPr>
      <w:rFonts w:ascii="Calibri" w:eastAsia="Calibri" w:hAnsi="Calibri" w:cs="Calibr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Luijckx</dc:creator>
  <cp:keywords/>
  <dc:description/>
  <cp:lastModifiedBy>Pepijn Luijckx</cp:lastModifiedBy>
  <cp:revision>1</cp:revision>
  <dcterms:created xsi:type="dcterms:W3CDTF">2021-12-06T12:39:00Z</dcterms:created>
  <dcterms:modified xsi:type="dcterms:W3CDTF">2021-12-06T12:39:00Z</dcterms:modified>
</cp:coreProperties>
</file>