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5" w:type="dxa"/>
        <w:tblLook w:val="04A0" w:firstRow="1" w:lastRow="0" w:firstColumn="1" w:lastColumn="0" w:noHBand="0" w:noVBand="1"/>
      </w:tblPr>
      <w:tblGrid>
        <w:gridCol w:w="2340"/>
        <w:gridCol w:w="2003"/>
        <w:gridCol w:w="3681"/>
        <w:gridCol w:w="1336"/>
      </w:tblGrid>
      <w:tr w:rsidR="00D36583" w:rsidRPr="0095544F" w14:paraId="27BCCD3F" w14:textId="77777777" w:rsidTr="00E941A9">
        <w:trPr>
          <w:trHeight w:val="368"/>
        </w:trPr>
        <w:tc>
          <w:tcPr>
            <w:tcW w:w="2340" w:type="dxa"/>
          </w:tcPr>
          <w:p w14:paraId="4322DEA6" w14:textId="77777777" w:rsidR="00D36583" w:rsidRPr="00812FDF" w:rsidRDefault="00D36583" w:rsidP="00E941A9">
            <w:pPr>
              <w:spacing w:before="120" w:after="120"/>
              <w:rPr>
                <w:b/>
                <w:bCs/>
                <w:sz w:val="20"/>
                <w:szCs w:val="20"/>
              </w:rPr>
            </w:pPr>
            <w:r w:rsidRPr="00812FDF">
              <w:rPr>
                <w:b/>
                <w:bCs/>
                <w:sz w:val="20"/>
                <w:szCs w:val="20"/>
              </w:rPr>
              <w:t>Trait</w:t>
            </w:r>
          </w:p>
        </w:tc>
        <w:tc>
          <w:tcPr>
            <w:tcW w:w="2003" w:type="dxa"/>
          </w:tcPr>
          <w:p w14:paraId="2BC46371" w14:textId="77777777" w:rsidR="00D36583" w:rsidRPr="00812FDF" w:rsidRDefault="00D36583" w:rsidP="00E941A9">
            <w:pPr>
              <w:spacing w:before="120" w:after="120"/>
              <w:rPr>
                <w:b/>
                <w:bCs/>
                <w:sz w:val="20"/>
                <w:szCs w:val="20"/>
              </w:rPr>
            </w:pPr>
            <w:r w:rsidRPr="00812FDF">
              <w:rPr>
                <w:b/>
                <w:bCs/>
                <w:sz w:val="20"/>
                <w:szCs w:val="20"/>
              </w:rPr>
              <w:t>Model</w:t>
            </w:r>
          </w:p>
        </w:tc>
        <w:tc>
          <w:tcPr>
            <w:tcW w:w="3681" w:type="dxa"/>
          </w:tcPr>
          <w:p w14:paraId="2827B76D" w14:textId="77777777" w:rsidR="00D36583" w:rsidRPr="00812FDF" w:rsidRDefault="00D36583" w:rsidP="00E941A9">
            <w:pPr>
              <w:spacing w:before="120" w:after="120"/>
              <w:rPr>
                <w:b/>
                <w:bCs/>
                <w:sz w:val="20"/>
                <w:szCs w:val="20"/>
              </w:rPr>
            </w:pPr>
            <w:r w:rsidRPr="00812FDF">
              <w:rPr>
                <w:b/>
                <w:bCs/>
                <w:sz w:val="20"/>
                <w:szCs w:val="20"/>
              </w:rPr>
              <w:t>Highlighted experimental observations</w:t>
            </w:r>
          </w:p>
        </w:tc>
        <w:tc>
          <w:tcPr>
            <w:tcW w:w="1336" w:type="dxa"/>
          </w:tcPr>
          <w:p w14:paraId="16B48E1E" w14:textId="77777777" w:rsidR="00D36583" w:rsidRPr="00812FDF" w:rsidRDefault="00D36583" w:rsidP="00E941A9">
            <w:pPr>
              <w:spacing w:before="120" w:after="120"/>
              <w:rPr>
                <w:b/>
                <w:bCs/>
                <w:sz w:val="20"/>
                <w:szCs w:val="20"/>
              </w:rPr>
            </w:pPr>
            <w:r w:rsidRPr="00812FDF">
              <w:rPr>
                <w:b/>
                <w:bCs/>
                <w:sz w:val="20"/>
                <w:szCs w:val="20"/>
              </w:rPr>
              <w:t>References</w:t>
            </w:r>
          </w:p>
        </w:tc>
      </w:tr>
      <w:tr w:rsidR="00D36583" w:rsidRPr="0095544F" w14:paraId="3D7EF2CC" w14:textId="77777777" w:rsidTr="00E941A9">
        <w:tc>
          <w:tcPr>
            <w:tcW w:w="2340" w:type="dxa"/>
          </w:tcPr>
          <w:p w14:paraId="111AB425" w14:textId="77777777" w:rsidR="00D36583" w:rsidRPr="00812FDF" w:rsidRDefault="00D36583" w:rsidP="00E941A9">
            <w:pPr>
              <w:spacing w:before="120" w:after="120"/>
              <w:rPr>
                <w:sz w:val="20"/>
                <w:szCs w:val="20"/>
              </w:rPr>
            </w:pPr>
            <w:r w:rsidRPr="00812FDF">
              <w:rPr>
                <w:sz w:val="20"/>
                <w:szCs w:val="20"/>
              </w:rPr>
              <w:t>Flexibility (general)</w:t>
            </w:r>
          </w:p>
        </w:tc>
        <w:tc>
          <w:tcPr>
            <w:tcW w:w="2003" w:type="dxa"/>
          </w:tcPr>
          <w:p w14:paraId="487DA324" w14:textId="77777777" w:rsidR="00D36583" w:rsidRPr="00812FDF" w:rsidRDefault="00D36583" w:rsidP="00E941A9">
            <w:pPr>
              <w:spacing w:before="120" w:after="120"/>
              <w:rPr>
                <w:sz w:val="20"/>
                <w:szCs w:val="20"/>
              </w:rPr>
            </w:pPr>
            <w:r w:rsidRPr="00812FDF">
              <w:rPr>
                <w:sz w:val="20"/>
                <w:szCs w:val="20"/>
              </w:rPr>
              <w:t xml:space="preserve">Higher flexibility overcomes reduced motion at lower temperature, allowing enhanced catalysis. </w:t>
            </w:r>
          </w:p>
        </w:tc>
        <w:tc>
          <w:tcPr>
            <w:tcW w:w="3681" w:type="dxa"/>
          </w:tcPr>
          <w:p w14:paraId="16E882A8" w14:textId="77777777" w:rsidR="00D36583" w:rsidRPr="00812FDF" w:rsidRDefault="00D36583" w:rsidP="00E941A9">
            <w:pPr>
              <w:spacing w:before="120" w:after="120"/>
              <w:rPr>
                <w:sz w:val="20"/>
                <w:szCs w:val="20"/>
                <w:lang w:val="en-US"/>
              </w:rPr>
            </w:pPr>
            <w:r w:rsidRPr="00812FDF">
              <w:rPr>
                <w:sz w:val="20"/>
                <w:szCs w:val="20"/>
              </w:rPr>
              <w:t>Fish lactate dehydrogenase rate (</w:t>
            </w:r>
            <w:r w:rsidRPr="00812FDF">
              <w:rPr>
                <w:i/>
                <w:sz w:val="20"/>
                <w:szCs w:val="20"/>
              </w:rPr>
              <w:t>k</w:t>
            </w:r>
            <w:r w:rsidRPr="00812FDF">
              <w:rPr>
                <w:iCs/>
                <w:sz w:val="20"/>
                <w:szCs w:val="20"/>
                <w:vertAlign w:val="subscript"/>
              </w:rPr>
              <w:t>cat</w:t>
            </w:r>
            <w:r w:rsidRPr="00812FDF">
              <w:rPr>
                <w:sz w:val="20"/>
                <w:szCs w:val="20"/>
              </w:rPr>
              <w:t>) correlates with average body temperature. Mollusk cytosolic malate dehydrogenase substrate affinity (</w:t>
            </w:r>
            <w:r w:rsidRPr="00812FDF">
              <w:rPr>
                <w:i/>
                <w:sz w:val="20"/>
                <w:szCs w:val="20"/>
              </w:rPr>
              <w:t>K</w:t>
            </w:r>
            <w:r w:rsidRPr="00812FDF">
              <w:rPr>
                <w:iCs/>
                <w:sz w:val="20"/>
                <w:szCs w:val="20"/>
                <w:vertAlign w:val="subscript"/>
              </w:rPr>
              <w:t>M</w:t>
            </w:r>
            <w:r w:rsidRPr="00812FDF">
              <w:rPr>
                <w:sz w:val="20"/>
                <w:szCs w:val="20"/>
              </w:rPr>
              <w:t xml:space="preserve">) correlates with habitat temperature. Psychrophile </w:t>
            </w:r>
            <w:r w:rsidRPr="00812FDF">
              <w:rPr>
                <w:sz w:val="20"/>
                <w:szCs w:val="20"/>
                <w:lang w:val="en-US"/>
              </w:rPr>
              <w:t>α</w:t>
            </w:r>
            <w:r w:rsidRPr="00812FDF">
              <w:rPr>
                <w:sz w:val="20"/>
                <w:szCs w:val="20"/>
              </w:rPr>
              <w:t xml:space="preserve">-amylase variant is faster than mesophilic and thermophilic variants. </w:t>
            </w:r>
            <w:proofErr w:type="spellStart"/>
            <w:r w:rsidRPr="00812FDF">
              <w:rPr>
                <w:sz w:val="20"/>
                <w:szCs w:val="20"/>
              </w:rPr>
              <w:t>Chitobiase</w:t>
            </w:r>
            <w:proofErr w:type="spellEnd"/>
            <w:r w:rsidRPr="00812FDF">
              <w:rPr>
                <w:sz w:val="20"/>
                <w:szCs w:val="20"/>
              </w:rPr>
              <w:t xml:space="preserve"> engineering stabilizes and reduces activity of psychrophilic enzyme.  </w:t>
            </w:r>
          </w:p>
        </w:tc>
        <w:tc>
          <w:tcPr>
            <w:tcW w:w="1336" w:type="dxa"/>
          </w:tcPr>
          <w:p w14:paraId="70E9340E" w14:textId="77777777" w:rsidR="00D36583" w:rsidRPr="00812FDF" w:rsidRDefault="00D36583" w:rsidP="00E941A9">
            <w:pPr>
              <w:spacing w:before="120" w:after="120"/>
              <w:rPr>
                <w:sz w:val="20"/>
                <w:szCs w:val="20"/>
              </w:rPr>
            </w:pPr>
            <w:r w:rsidRPr="00812FDF">
              <w:rPr>
                <w:sz w:val="20"/>
                <w:szCs w:val="20"/>
              </w:rPr>
              <w:fldChar w:fldCharType="begin"/>
            </w:r>
            <w:r w:rsidRPr="00812FDF">
              <w:rPr>
                <w:sz w:val="20"/>
                <w:szCs w:val="20"/>
              </w:rPr>
              <w:instrText xml:space="preserve"> ADDIN ZOTERO_ITEM CSL_CITATION {"citationID":"y7CX1ps9","properties":{"formattedCitation":"(Feller and Gerday, 2003; Fields et al., 2015)","plainCitation":"(Feller and Gerday, 2003; Fields et al., 2015)","noteIndex":0},"citationItems":[{"id":4,"uris":["http://zotero.org/users/6606342/items/VA9UPJHU"],"uri":["http://zotero.org/users/6606342/items/VA9UPJHU"],"itemData":{"id":4,"type":"article-journal","abstract":"Sensitivity to temperature helps determine the success of organisms in all habitats, and is caused by the susceptibility of biochemical processes, including enzyme function, to temperature change. A series of studies using two structurally and catalytically related enzymes, A4-lactate dehydrogenase (A4-LDH) and cytosolic malate dehydrogenase (cMDH) have been especially valuable in determining the functional attributes of enzymes most sensitive to temperature, and identifying amino acid substitutions that lead to changes in those attributes. The results of these efforts indicate that ligand binding affinity and catalytic rate are key targets during temperature adaptation: ligand affinity decreases during cold adaptation to allow more rapid catalysis. Structural changes causing these functional shifts often comprise only a single amino acid substitution in an enzyme subunit containing approximately 330 residues; they occur on the surface of the protein in or near regions of the enzyme that move during catalysis, but not in the active site; and they decrease stability in cold-adapted orthologs by altering intra-molecular hydrogen bonding patterns or interactions with the solvent. Despite these structure-function insights, we currently are unable to predict a priori how a particular substitution alters enzyme function in relation to temperature. A predictive ability of this nature might allow a proteome-wide survey of adaptation to temperature and reveal what fraction of the proteome may need to adapt to temperature changes of the order predicted by global warming models. Approaches employing algorithms that calculate changes in protein stability in response to a mutation have the potential to help predict temperature adaptation in enzymes; however, using examples of temperature-adaptive mutations in A4-LDH and cMDH, we find that the algorithms we tested currently lack the sensitivity to detect the small changes in flexibility that are central to enzyme adaptation to temperature.","container-title":"The Journal of Experimental Biology","DOI":"10.1242/jeb.114298","ISSN":"1477-9145","issue":"Pt 12","journalAbbreviation":"J. Exp. Biol.","language":"eng","note":"PMID: 26085658","page":"1801-1811","source":"PubMed","title":"Adaptations of protein structure and function to temperature: there is more than one way to 'skin a cat'","title-short":"Adaptations of protein structure and function to temperature","volume":"218","author":[{"family":"Fields","given":"Peter A."},{"family":"Dong","given":"Yunwei"},{"family":"Meng","given":"Xianliang"},{"family":"Somero","given":"George N."}],"issued":{"date-parts":[["2015",6]]}}},{"id":92,"uris":["http://zotero.org/users/6606342/items/NL8KGN5I"],"uri":["http://zotero.org/users/6606342/items/NL8KGN5I"],"itemData":{"id":92,"type":"article-journal","container-title":"Nature Reviews Microbiology","DOI":"10.1038/nrmicro773","ISSN":"1740-1526, 1740-1534","issue":"3","journalAbbreviation":"Nat Rev Microbiol","language":"en","page":"200-208","source":"DOI.org (Crossref)","title":"Psychrophilic enzymes: hot topics in cold adaptation","title-short":"Psychrophilic enzymes","volume":"1","author":[{"family":"Feller","given":"Georges"},{"family":"Gerday","given":"Charles"}],"issued":{"date-parts":[["2003",12]]}}}],"schema":"https://github.com/citation-style-language/schema/raw/master/csl-citation.json"} </w:instrText>
            </w:r>
            <w:r w:rsidRPr="00812FDF">
              <w:rPr>
                <w:sz w:val="20"/>
                <w:szCs w:val="20"/>
              </w:rPr>
              <w:fldChar w:fldCharType="separate"/>
            </w:r>
            <w:r w:rsidRPr="00812FDF">
              <w:rPr>
                <w:noProof/>
                <w:sz w:val="20"/>
                <w:szCs w:val="20"/>
              </w:rPr>
              <w:t>(Feller and Gerday, 2003; Fields et al., 2015)</w:t>
            </w:r>
            <w:r w:rsidRPr="00812FDF">
              <w:rPr>
                <w:sz w:val="20"/>
                <w:szCs w:val="20"/>
              </w:rPr>
              <w:fldChar w:fldCharType="end"/>
            </w:r>
          </w:p>
        </w:tc>
      </w:tr>
      <w:tr w:rsidR="00D36583" w:rsidRPr="0095544F" w14:paraId="6EF1EAD9" w14:textId="77777777" w:rsidTr="00E941A9">
        <w:tc>
          <w:tcPr>
            <w:tcW w:w="2340" w:type="dxa"/>
          </w:tcPr>
          <w:p w14:paraId="4A3563BC" w14:textId="77777777" w:rsidR="00D36583" w:rsidRPr="00812FDF" w:rsidRDefault="00D36583" w:rsidP="00E941A9">
            <w:pPr>
              <w:spacing w:before="120" w:after="120"/>
              <w:rPr>
                <w:sz w:val="20"/>
                <w:szCs w:val="20"/>
              </w:rPr>
            </w:pPr>
            <w:r w:rsidRPr="00812FDF">
              <w:rPr>
                <w:sz w:val="20"/>
                <w:szCs w:val="20"/>
              </w:rPr>
              <w:t>Flexibility (specific)</w:t>
            </w:r>
          </w:p>
        </w:tc>
        <w:tc>
          <w:tcPr>
            <w:tcW w:w="2003" w:type="dxa"/>
          </w:tcPr>
          <w:p w14:paraId="7D400526" w14:textId="77777777" w:rsidR="00D36583" w:rsidRPr="00812FDF" w:rsidRDefault="00D36583" w:rsidP="00E941A9">
            <w:pPr>
              <w:spacing w:before="120" w:after="120"/>
              <w:rPr>
                <w:sz w:val="20"/>
                <w:szCs w:val="20"/>
              </w:rPr>
            </w:pPr>
            <w:r w:rsidRPr="00812FDF">
              <w:rPr>
                <w:sz w:val="20"/>
                <w:szCs w:val="20"/>
              </w:rPr>
              <w:t xml:space="preserve">Surface flexibility decreases enthalpy and entropy activation terms, reducing temperature dependence of reaction. </w:t>
            </w:r>
          </w:p>
        </w:tc>
        <w:tc>
          <w:tcPr>
            <w:tcW w:w="3681" w:type="dxa"/>
          </w:tcPr>
          <w:p w14:paraId="1C128B8D" w14:textId="77777777" w:rsidR="00D36583" w:rsidRPr="00812FDF" w:rsidRDefault="00D36583" w:rsidP="00E941A9">
            <w:pPr>
              <w:spacing w:before="120" w:after="120"/>
              <w:rPr>
                <w:sz w:val="20"/>
                <w:szCs w:val="20"/>
              </w:rPr>
            </w:pPr>
            <w:r w:rsidRPr="00812FDF">
              <w:rPr>
                <w:sz w:val="20"/>
                <w:szCs w:val="20"/>
              </w:rPr>
              <w:t xml:space="preserve">Computational methods including molecular dynamics and empirical valence bond simulations of diverse enzyme systems, with specific focus on citrate synthase and trypsin variants, suggest importance of flexibility of surface residues in cold adaptation.  </w:t>
            </w:r>
          </w:p>
        </w:tc>
        <w:tc>
          <w:tcPr>
            <w:tcW w:w="1336" w:type="dxa"/>
          </w:tcPr>
          <w:p w14:paraId="0E8066BC" w14:textId="77777777" w:rsidR="00D36583" w:rsidRPr="00812FDF" w:rsidRDefault="00D36583" w:rsidP="00E941A9">
            <w:pPr>
              <w:spacing w:before="120" w:after="120"/>
              <w:rPr>
                <w:sz w:val="20"/>
                <w:szCs w:val="20"/>
              </w:rPr>
            </w:pPr>
            <w:r w:rsidRPr="00812FDF">
              <w:rPr>
                <w:sz w:val="20"/>
                <w:szCs w:val="20"/>
              </w:rPr>
              <w:fldChar w:fldCharType="begin"/>
            </w:r>
            <w:r w:rsidRPr="00812FDF">
              <w:rPr>
                <w:sz w:val="20"/>
                <w:szCs w:val="20"/>
              </w:rPr>
              <w:instrText xml:space="preserve"> ADDIN ZOTERO_ITEM CSL_CITATION {"citationID":"nvWJS0pp","properties":{"formattedCitation":"(\\uc0\\u197{}qvist et al., 2017)","plainCitation":"(Åqvist et al., 2017)","noteIndex":0},"citationItems":[{"id":104,"uris":["http://zotero.org/users/6606342/items/IBFAXZTZ"],"uri":["http://zotero.org/users/6606342/items/IBFAXZTZ"],"itemData":{"id":104,"type":"article-journal","container-title":"Nature Reviews Chemistry","DOI":"10.1038/s41570-017-0051","ISSN":"2397-3358","issue":"7","journalAbbreviation":"Nat Rev Chem","language":"en","page":"0051","source":"DOI.org (Crossref)","title":"Computation of enzyme cold adaptation","volume":"1","author":[{"family":"Åqvist","given":"Johan"},{"family":"Isaksen","given":"Geir Villy"},{"family":"Brandsdal","given":"Bjørn Olav"}],"issued":{"date-parts":[["2017",7]]}}}],"schema":"https://github.com/citation-style-language/schema/raw/master/csl-citation.json"} </w:instrText>
            </w:r>
            <w:r w:rsidRPr="00812FDF">
              <w:rPr>
                <w:sz w:val="20"/>
                <w:szCs w:val="20"/>
              </w:rPr>
              <w:fldChar w:fldCharType="separate"/>
            </w:r>
            <w:r w:rsidRPr="00812FDF">
              <w:rPr>
                <w:sz w:val="20"/>
                <w:szCs w:val="20"/>
              </w:rPr>
              <w:t>(</w:t>
            </w:r>
            <w:proofErr w:type="spellStart"/>
            <w:r w:rsidRPr="00812FDF">
              <w:rPr>
                <w:sz w:val="20"/>
                <w:szCs w:val="20"/>
              </w:rPr>
              <w:t>Åqvist</w:t>
            </w:r>
            <w:proofErr w:type="spellEnd"/>
            <w:r w:rsidRPr="00812FDF">
              <w:rPr>
                <w:sz w:val="20"/>
                <w:szCs w:val="20"/>
              </w:rPr>
              <w:t xml:space="preserve"> et al., 2017)</w:t>
            </w:r>
            <w:r w:rsidRPr="00812FDF">
              <w:rPr>
                <w:sz w:val="20"/>
                <w:szCs w:val="20"/>
              </w:rPr>
              <w:fldChar w:fldCharType="end"/>
            </w:r>
          </w:p>
        </w:tc>
      </w:tr>
      <w:tr w:rsidR="00D36583" w:rsidRPr="0095544F" w14:paraId="1C3E9C2A" w14:textId="77777777" w:rsidTr="00E941A9">
        <w:tc>
          <w:tcPr>
            <w:tcW w:w="2340" w:type="dxa"/>
          </w:tcPr>
          <w:p w14:paraId="51CB7BA5" w14:textId="77777777" w:rsidR="00D36583" w:rsidRPr="00812FDF" w:rsidRDefault="00D36583" w:rsidP="00E941A9">
            <w:pPr>
              <w:spacing w:before="120" w:after="120"/>
              <w:rPr>
                <w:sz w:val="20"/>
                <w:szCs w:val="20"/>
              </w:rPr>
            </w:pPr>
            <w:r w:rsidRPr="00812FDF">
              <w:rPr>
                <w:sz w:val="20"/>
                <w:szCs w:val="20"/>
              </w:rPr>
              <w:t>Heat capacity modulation</w:t>
            </w:r>
          </w:p>
        </w:tc>
        <w:tc>
          <w:tcPr>
            <w:tcW w:w="2003" w:type="dxa"/>
          </w:tcPr>
          <w:p w14:paraId="065349AD" w14:textId="77777777" w:rsidR="00D36583" w:rsidRPr="00812FDF" w:rsidRDefault="00D36583" w:rsidP="00E941A9">
            <w:pPr>
              <w:spacing w:before="120" w:after="120"/>
              <w:rPr>
                <w:sz w:val="20"/>
                <w:szCs w:val="20"/>
              </w:rPr>
            </w:pPr>
            <w:r w:rsidRPr="00812FDF">
              <w:rPr>
                <w:sz w:val="20"/>
                <w:szCs w:val="20"/>
              </w:rPr>
              <w:t xml:space="preserve">Altered temperature dependence of reaction reduces rate decrease as temperature is lowered </w:t>
            </w:r>
          </w:p>
        </w:tc>
        <w:tc>
          <w:tcPr>
            <w:tcW w:w="3681" w:type="dxa"/>
          </w:tcPr>
          <w:p w14:paraId="443E386E" w14:textId="77777777" w:rsidR="00D36583" w:rsidRPr="00812FDF" w:rsidRDefault="00D36583" w:rsidP="00E941A9">
            <w:pPr>
              <w:spacing w:before="120" w:after="120"/>
              <w:rPr>
                <w:sz w:val="20"/>
                <w:szCs w:val="20"/>
              </w:rPr>
            </w:pPr>
            <w:r w:rsidRPr="00812FDF">
              <w:rPr>
                <w:sz w:val="20"/>
                <w:szCs w:val="20"/>
              </w:rPr>
              <w:t xml:space="preserve">More negative </w:t>
            </w:r>
            <w:proofErr w:type="spellStart"/>
            <w:r w:rsidRPr="00812FDF">
              <w:rPr>
                <w:sz w:val="20"/>
                <w:szCs w:val="20"/>
              </w:rPr>
              <w:t>Δ</w:t>
            </w:r>
            <w:r w:rsidRPr="00812FDF">
              <w:rPr>
                <w:i/>
                <w:sz w:val="20"/>
                <w:szCs w:val="20"/>
              </w:rPr>
              <w:t>C</w:t>
            </w:r>
            <w:r w:rsidRPr="00812FDF">
              <w:rPr>
                <w:iCs/>
                <w:sz w:val="20"/>
                <w:szCs w:val="20"/>
                <w:vertAlign w:val="subscript"/>
              </w:rPr>
              <w:t>p</w:t>
            </w:r>
            <w:proofErr w:type="spellEnd"/>
            <w:r w:rsidRPr="00812FDF">
              <w:rPr>
                <w:iCs/>
                <w:sz w:val="20"/>
                <w:szCs w:val="20"/>
                <w:vertAlign w:val="superscript"/>
              </w:rPr>
              <w:t>‡</w:t>
            </w:r>
            <w:r w:rsidRPr="00812FDF">
              <w:rPr>
                <w:sz w:val="20"/>
                <w:szCs w:val="20"/>
              </w:rPr>
              <w:t xml:space="preserve"> has been observed in psychrophilic </w:t>
            </w:r>
            <w:proofErr w:type="spellStart"/>
            <w:r w:rsidRPr="00812FDF">
              <w:rPr>
                <w:sz w:val="20"/>
                <w:szCs w:val="20"/>
              </w:rPr>
              <w:t>isopropylmalate</w:t>
            </w:r>
            <w:proofErr w:type="spellEnd"/>
            <w:r w:rsidRPr="00812FDF">
              <w:rPr>
                <w:sz w:val="20"/>
                <w:szCs w:val="20"/>
              </w:rPr>
              <w:t xml:space="preserve"> dehydrogenase and α-glucosidase. In contrast, more negative </w:t>
            </w:r>
            <w:proofErr w:type="spellStart"/>
            <w:r w:rsidRPr="00812FDF">
              <w:rPr>
                <w:sz w:val="20"/>
                <w:szCs w:val="20"/>
              </w:rPr>
              <w:t>Δ</w:t>
            </w:r>
            <w:r w:rsidRPr="00812FDF">
              <w:rPr>
                <w:i/>
                <w:sz w:val="20"/>
                <w:szCs w:val="20"/>
              </w:rPr>
              <w:t>C</w:t>
            </w:r>
            <w:r w:rsidRPr="00812FDF">
              <w:rPr>
                <w:iCs/>
                <w:sz w:val="20"/>
                <w:szCs w:val="20"/>
                <w:vertAlign w:val="subscript"/>
              </w:rPr>
              <w:t>p</w:t>
            </w:r>
            <w:proofErr w:type="spellEnd"/>
            <w:r w:rsidRPr="00812FDF">
              <w:rPr>
                <w:iCs/>
                <w:sz w:val="20"/>
                <w:szCs w:val="20"/>
                <w:vertAlign w:val="superscript"/>
              </w:rPr>
              <w:t>‡</w:t>
            </w:r>
            <w:r w:rsidRPr="00812FDF">
              <w:rPr>
                <w:sz w:val="20"/>
                <w:szCs w:val="20"/>
              </w:rPr>
              <w:t xml:space="preserve"> has also been suggested as a driver of adaptation to higher temperature in reconstructed ancestral adenylate kinase sequences. </w:t>
            </w:r>
          </w:p>
        </w:tc>
        <w:tc>
          <w:tcPr>
            <w:tcW w:w="1336" w:type="dxa"/>
          </w:tcPr>
          <w:p w14:paraId="2207B1D9" w14:textId="77777777" w:rsidR="00D36583" w:rsidRPr="00812FDF" w:rsidRDefault="00D36583" w:rsidP="00E941A9">
            <w:pPr>
              <w:spacing w:before="120" w:after="120"/>
              <w:rPr>
                <w:sz w:val="20"/>
                <w:szCs w:val="20"/>
              </w:rPr>
            </w:pPr>
            <w:r w:rsidRPr="00812FDF">
              <w:rPr>
                <w:sz w:val="20"/>
                <w:szCs w:val="20"/>
              </w:rPr>
              <w:fldChar w:fldCharType="begin"/>
            </w:r>
            <w:r w:rsidRPr="00812FDF">
              <w:rPr>
                <w:sz w:val="20"/>
                <w:szCs w:val="20"/>
              </w:rPr>
              <w:instrText xml:space="preserve"> ADDIN ZOTERO_ITEM CSL_CITATION {"citationID":"f5n1UuWP","properties":{"formattedCitation":"(Arcus et al., 2016; Nguyen et al., 2017)","plainCitation":"(Arcus et al., 2016; Nguyen et al., 2017)","noteIndex":0},"citationItems":[{"id":103,"uris":["http://zotero.org/users/6606342/items/A9Z54T46"],"uri":["http://zotero.org/users/6606342/items/A9Z54T46"],"itemData":{"id":103,"type":"article-journal","container-title":"Biochemistry","DOI":"10.1021/acs.biochem.5b01094","ISSN":"0006-2960, 1520-4995","issue":"12","journalAbbreviation":"Biochemistry","language":"en","page":"1681-1688","source":"DOI.org (Crossref)","title":"On the Temperature Dependence of Enzyme-Catalyzed Rates","volume":"55","author":[{"family":"Arcus","given":"Vickery L."},{"family":"Prentice","given":"Erica J."},{"family":"Hobbs","given":"Joanne K."},{"family":"Mulholland","given":"Adrian J."},{"family":"Van der Kamp","given":"Marc W."},{"family":"Pudney","given":"Christopher R."},{"family":"Parker","given":"Emily J."},{"family":"Schipper","given":"Louis A."}],"issued":{"date-parts":[["2016",3,29]]}}},{"id":105,"uris":["http://zotero.org/users/6606342/items/DC4FEZS4"],"uri":["http://zotero.org/users/6606342/items/DC4FEZS4"],"itemData":{"id":105,"type":"article-journal","abstract":"With early life likely to have existed in a hot environment, enzymes had to cope with an inherent drop in catalytic speed caused by lowered temperature. Here we characterize the molecular mechanisms underlying thermoadaptation of enzyme catalysis in adenylate kinase using ancestral sequence reconstruction spanning 3 billion years of evolution. We show that evolution solved the enzyme's key kinetic obstacle-how to maintain catalytic speed on a cooler Earth-by exploiting transition-state heat capacity. Tracing the evolution of enzyme activity and stability from the hot-start toward modern hyperthermophilic, mesophilic, and psychrophilic organisms illustrates active pressure versus passive drift in evolution on a molecular level, refutes the debated activity/stability trade-off, and suggests that the catalytic speed of adenylate kinase is an evolutionary driver for organismal fitness.","container-title":"Science (New York, N.Y.)","DOI":"10.1126/science.aah3717","ISSN":"1095-9203","issue":"6322","journalAbbreviation":"Science","language":"eng","note":"PMID: 28008087\nPMCID: PMC5649376","page":"289-294","source":"PubMed","title":"Evolutionary drivers of thermoadaptation in enzyme catalysis","volume":"355","author":[{"family":"Nguyen","given":"Vy"},{"family":"Wilson","given":"Christopher"},{"family":"Hoemberger","given":"Marc"},{"family":"Stiller","given":"John B."},{"family":"Agafonov","given":"Roman V."},{"family":"Kutter","given":"Steffen"},{"family":"English","given":"Justin"},{"family":"Theobald","given":"Douglas L."},{"family":"Kern","given":"Dorothee"}],"issued":{"date-parts":[["2017"]],"season":"20"}}}],"schema":"https://github.com/citation-style-language/schema/raw/master/csl-citation.json"} </w:instrText>
            </w:r>
            <w:r w:rsidRPr="00812FDF">
              <w:rPr>
                <w:sz w:val="20"/>
                <w:szCs w:val="20"/>
              </w:rPr>
              <w:fldChar w:fldCharType="separate"/>
            </w:r>
            <w:r w:rsidRPr="00812FDF">
              <w:rPr>
                <w:noProof/>
                <w:sz w:val="20"/>
                <w:szCs w:val="20"/>
              </w:rPr>
              <w:t>(Arcus et al., 2016; Nguyen et al., 2017)</w:t>
            </w:r>
            <w:r w:rsidRPr="00812FDF">
              <w:rPr>
                <w:sz w:val="20"/>
                <w:szCs w:val="20"/>
              </w:rPr>
              <w:fldChar w:fldCharType="end"/>
            </w:r>
          </w:p>
        </w:tc>
      </w:tr>
      <w:tr w:rsidR="00D36583" w:rsidRPr="0095544F" w14:paraId="59AB199B" w14:textId="77777777" w:rsidTr="00E941A9">
        <w:tc>
          <w:tcPr>
            <w:tcW w:w="2340" w:type="dxa"/>
          </w:tcPr>
          <w:p w14:paraId="28F9B1EE" w14:textId="77777777" w:rsidR="00D36583" w:rsidRPr="00812FDF" w:rsidRDefault="00D36583" w:rsidP="00E941A9">
            <w:pPr>
              <w:spacing w:before="120" w:after="120"/>
              <w:rPr>
                <w:sz w:val="20"/>
                <w:szCs w:val="20"/>
              </w:rPr>
            </w:pPr>
            <w:r w:rsidRPr="00812FDF">
              <w:rPr>
                <w:sz w:val="20"/>
                <w:szCs w:val="20"/>
              </w:rPr>
              <w:t>Dynamic allostery</w:t>
            </w:r>
          </w:p>
        </w:tc>
        <w:tc>
          <w:tcPr>
            <w:tcW w:w="2003" w:type="dxa"/>
          </w:tcPr>
          <w:p w14:paraId="0E2BB38F" w14:textId="77777777" w:rsidR="00D36583" w:rsidRPr="00812FDF" w:rsidRDefault="00D36583" w:rsidP="00E941A9">
            <w:pPr>
              <w:spacing w:before="120" w:after="120"/>
              <w:rPr>
                <w:sz w:val="20"/>
                <w:szCs w:val="20"/>
              </w:rPr>
            </w:pPr>
            <w:r w:rsidRPr="00812FDF">
              <w:rPr>
                <w:sz w:val="20"/>
                <w:szCs w:val="20"/>
              </w:rPr>
              <w:t xml:space="preserve">Partial unfolding arising from conformational entropy-enhancing mutation can affect </w:t>
            </w:r>
            <w:r w:rsidRPr="00812FDF">
              <w:rPr>
                <w:i/>
                <w:iCs/>
                <w:sz w:val="20"/>
                <w:szCs w:val="20"/>
              </w:rPr>
              <w:t>k</w:t>
            </w:r>
            <w:r w:rsidRPr="00812FDF">
              <w:rPr>
                <w:sz w:val="20"/>
                <w:szCs w:val="20"/>
                <w:vertAlign w:val="subscript"/>
              </w:rPr>
              <w:t>cat</w:t>
            </w:r>
            <w:r w:rsidRPr="00812FDF">
              <w:rPr>
                <w:sz w:val="20"/>
                <w:szCs w:val="20"/>
              </w:rPr>
              <w:t xml:space="preserve"> and </w:t>
            </w:r>
            <w:r w:rsidRPr="00812FDF">
              <w:rPr>
                <w:i/>
                <w:iCs/>
                <w:sz w:val="20"/>
                <w:szCs w:val="20"/>
              </w:rPr>
              <w:t>K</w:t>
            </w:r>
            <w:r w:rsidRPr="00812FDF">
              <w:rPr>
                <w:sz w:val="20"/>
                <w:szCs w:val="20"/>
                <w:vertAlign w:val="subscript"/>
              </w:rPr>
              <w:t>M</w:t>
            </w:r>
          </w:p>
        </w:tc>
        <w:tc>
          <w:tcPr>
            <w:tcW w:w="3681" w:type="dxa"/>
          </w:tcPr>
          <w:p w14:paraId="3D941BFD" w14:textId="77777777" w:rsidR="00D36583" w:rsidRPr="00812FDF" w:rsidRDefault="00D36583" w:rsidP="00E941A9">
            <w:pPr>
              <w:spacing w:before="120" w:after="120"/>
              <w:rPr>
                <w:sz w:val="20"/>
                <w:szCs w:val="20"/>
              </w:rPr>
            </w:pPr>
            <w:r w:rsidRPr="00812FDF">
              <w:rPr>
                <w:sz w:val="20"/>
                <w:szCs w:val="20"/>
              </w:rPr>
              <w:t xml:space="preserve">Dynamics-based regulation arising from mutations distal to the active site of mesophilic adenylate kinase affect substrate affinity and turnover, suggesting a mechanism of cold adaptation. </w:t>
            </w:r>
          </w:p>
        </w:tc>
        <w:tc>
          <w:tcPr>
            <w:tcW w:w="1336" w:type="dxa"/>
          </w:tcPr>
          <w:p w14:paraId="760284BC" w14:textId="77777777" w:rsidR="00D36583" w:rsidRPr="00812FDF" w:rsidRDefault="00D36583" w:rsidP="00E941A9">
            <w:pPr>
              <w:spacing w:before="120" w:after="120"/>
              <w:rPr>
                <w:sz w:val="20"/>
                <w:szCs w:val="20"/>
              </w:rPr>
            </w:pPr>
            <w:r w:rsidRPr="00812FDF">
              <w:rPr>
                <w:sz w:val="20"/>
                <w:szCs w:val="20"/>
              </w:rPr>
              <w:fldChar w:fldCharType="begin"/>
            </w:r>
            <w:r w:rsidRPr="00812FDF">
              <w:rPr>
                <w:sz w:val="20"/>
                <w:szCs w:val="20"/>
              </w:rPr>
              <w:instrText xml:space="preserve"> ADDIN ZOTERO_ITEM CSL_CITATION {"citationID":"IcdCenmY","properties":{"formattedCitation":"(Saavedra et al., 2018)","plainCitation":"(Saavedra et al., 2018)","noteIndex":0},"citationItems":[{"id":86,"uris":["http://zotero.org/users/6606342/items/J48GPNJM"],"uri":["http://zotero.org/users/6606342/items/J48GPNJM"],"itemData":{"id":86,"type":"article-journal","container-title":"Nature","DOI":"10.1038/s41586-018-0183-2","ISSN":"0028-0836, 1476-4687","issue":"7709","journalAbbreviation":"Nature","language":"en","page":"324-328","source":"DOI.org (Crossref)","title":"Dynamic allostery can drive cold adaptation in enzymes","volume":"558","author":[{"family":"Saavedra","given":"Harry G."},{"family":"Wrabl","given":"James O."},{"family":"Anderson","given":"Jeremy A."},{"family":"Li","given":"Jing"},{"family":"Hilser","given":"Vincent J."}],"issued":{"date-parts":[["2018",6]]}}}],"schema":"https://github.com/citation-style-language/schema/raw/master/csl-citation.json"} </w:instrText>
            </w:r>
            <w:r w:rsidRPr="00812FDF">
              <w:rPr>
                <w:sz w:val="20"/>
                <w:szCs w:val="20"/>
              </w:rPr>
              <w:fldChar w:fldCharType="separate"/>
            </w:r>
            <w:r w:rsidRPr="00812FDF">
              <w:rPr>
                <w:noProof/>
                <w:sz w:val="20"/>
                <w:szCs w:val="20"/>
              </w:rPr>
              <w:t>(Saavedra et al., 2018)</w:t>
            </w:r>
            <w:r w:rsidRPr="00812FDF">
              <w:rPr>
                <w:sz w:val="20"/>
                <w:szCs w:val="20"/>
              </w:rPr>
              <w:fldChar w:fldCharType="end"/>
            </w:r>
          </w:p>
        </w:tc>
      </w:tr>
    </w:tbl>
    <w:p w14:paraId="7167D1A4" w14:textId="77777777" w:rsidR="00D54612" w:rsidRDefault="00D54612"/>
    <w:sectPr w:rsidR="00D54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3"/>
    <w:rsid w:val="00431F20"/>
    <w:rsid w:val="00D36583"/>
    <w:rsid w:val="00D54612"/>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8DC9"/>
  <w15:chartTrackingRefBased/>
  <w15:docId w15:val="{2E294DFC-61B0-5C4D-AE08-20B12A86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583"/>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1553</Words>
  <Characters>8858</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DuBrule Stark</dc:creator>
  <cp:keywords/>
  <dc:description/>
  <cp:lastModifiedBy>Catherine DuBrule Stark</cp:lastModifiedBy>
  <cp:revision>1</cp:revision>
  <dcterms:created xsi:type="dcterms:W3CDTF">2021-12-16T16:08:00Z</dcterms:created>
  <dcterms:modified xsi:type="dcterms:W3CDTF">2021-12-16T16:08:00Z</dcterms:modified>
</cp:coreProperties>
</file>