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i/>
          <w:sz w:val="28"/>
          <w:szCs w:val="28"/>
        </w:rPr>
      </w:pPr>
      <w:bookmarkStart w:id="0" w:name="_heading=h.gjdgxs" w:colFirst="0" w:colLast="0"/>
      <w:bookmarkEnd w:id="0"/>
    </w:p>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r>
        <w:fldChar w:fldCharType="begin"/>
      </w:r>
      <w:r>
        <w:instrText xml:space="preserve"> HYPERLINK "http://www.equator-network.org/%20" \t "_blank" </w:instrText>
      </w:r>
      <w:r>
        <w:fldChar w:fldCharType="separate"/>
      </w:r>
      <w:r>
        <w:rPr>
          <w:rStyle w:val="14"/>
          <w:rFonts w:asciiTheme="minorHAnsi" w:hAnsiTheme="minorHAnsi"/>
          <w:bCs/>
          <w:sz w:val="22"/>
          <w:szCs w:val="22"/>
        </w:rPr>
        <w:t>EQUATOR Network</w:t>
      </w:r>
      <w:r>
        <w:rPr>
          <w:rStyle w:val="14"/>
          <w:rFonts w:asciiTheme="minorHAnsi" w:hAnsiTheme="minorHAnsi"/>
          <w:bCs/>
          <w:sz w:val="22"/>
          <w:szCs w:val="22"/>
        </w:rPr>
        <w:fldChar w:fldCharType="end"/>
      </w:r>
      <w:r>
        <w:rPr>
          <w:rFonts w:asciiTheme="minorHAnsi" w:hAnsiTheme="minorHAnsi"/>
          <w:bCs/>
          <w:sz w:val="22"/>
          <w:szCs w:val="22"/>
        </w:rPr>
        <w:t>), life science research (see the </w:t>
      </w:r>
      <w:r>
        <w:fldChar w:fldCharType="begin"/>
      </w:r>
      <w:r>
        <w:instrText xml:space="preserve"> HYPERLINK "https://biosharing.org/" \t "_blank" </w:instrText>
      </w:r>
      <w:r>
        <w:fldChar w:fldCharType="separate"/>
      </w:r>
      <w:r>
        <w:rPr>
          <w:rStyle w:val="14"/>
          <w:rFonts w:asciiTheme="minorHAnsi" w:hAnsiTheme="minorHAnsi"/>
          <w:bCs/>
          <w:sz w:val="22"/>
          <w:szCs w:val="22"/>
        </w:rPr>
        <w:t>BioSharing Information Resource</w:t>
      </w:r>
      <w:r>
        <w:rPr>
          <w:rStyle w:val="14"/>
          <w:rFonts w:asciiTheme="minorHAnsi" w:hAnsiTheme="minorHAnsi"/>
          <w:bCs/>
          <w:sz w:val="22"/>
          <w:szCs w:val="22"/>
        </w:rPr>
        <w:fldChar w:fldCharType="end"/>
      </w:r>
      <w:r>
        <w:rPr>
          <w:rFonts w:asciiTheme="minorHAnsi" w:hAnsiTheme="minorHAnsi"/>
          <w:bCs/>
          <w:sz w:val="22"/>
          <w:szCs w:val="22"/>
        </w:rPr>
        <w:t>), or the </w:t>
      </w:r>
      <w:r>
        <w:fldChar w:fldCharType="begin"/>
      </w:r>
      <w:r>
        <w:instrText xml:space="preserve"> HYPERLINK "http://www.plosbiology.org/article/info:doi/10.1371/journal.pbio.1000412" \t "_blank" </w:instrText>
      </w:r>
      <w:r>
        <w:fldChar w:fldCharType="separate"/>
      </w:r>
      <w:r>
        <w:rPr>
          <w:rStyle w:val="14"/>
          <w:rFonts w:asciiTheme="minorHAnsi" w:hAnsiTheme="minorHAnsi"/>
          <w:bCs/>
          <w:sz w:val="22"/>
          <w:szCs w:val="22"/>
        </w:rPr>
        <w:t>ARRIVE guidelines</w:t>
      </w:r>
      <w:r>
        <w:rPr>
          <w:rStyle w:val="14"/>
          <w:rFonts w:asciiTheme="minorHAnsi" w:hAnsiTheme="minorHAnsi"/>
          <w:bCs/>
          <w:sz w:val="22"/>
          <w:szCs w:val="22"/>
        </w:rPr>
        <w:fldChar w:fldCharType="end"/>
      </w:r>
      <w:r>
        <w:rPr>
          <w:rFonts w:asciiTheme="minorHAnsi" w:hAnsiTheme="minorHAnsi"/>
          <w:bCs/>
          <w:sz w:val="22"/>
          <w:szCs w:val="22"/>
        </w:rPr>
        <w:t> for reporting work involving animal research.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4"/>
          <w:rFonts w:asciiTheme="minorHAnsi" w:hAnsiTheme="minorHAnsi"/>
          <w:bCs/>
          <w:sz w:val="22"/>
          <w:szCs w:val="22"/>
        </w:rPr>
        <w:t>editorial@elifesciences.org</w:t>
      </w:r>
      <w:r>
        <w:rPr>
          <w:rStyle w:val="14"/>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7"/>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17"/>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17"/>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eastAsia" w:eastAsia="宋体" w:asciiTheme="minorHAnsi" w:hAnsiTheme="minorHAnsi"/>
          <w:lang w:val="en-US" w:eastAsia="zh-CN"/>
        </w:rPr>
      </w:pPr>
      <w:r>
        <w:rPr>
          <w:rFonts w:hint="eastAsia" w:asciiTheme="minorHAnsi" w:hAnsiTheme="minorHAnsi"/>
        </w:rPr>
        <w:t>The present analysis is based on an established population-based cohort study, CKB. We included as many eligible individuals as possible and didn’t calculate the sample size. Information on inclusion and exclusion criteria can be found in the subsection of ‘Participants and study design’ under ‘Methods’ part.</w:t>
      </w:r>
    </w:p>
    <w:p>
      <w:pPr>
        <w:rPr>
          <w:rFonts w:asciiTheme="minorHAnsi" w:hAnsiTheme="minorHAnsi"/>
          <w:sz w:val="22"/>
          <w:szCs w:val="22"/>
        </w:rPr>
      </w:pPr>
    </w:p>
    <w:p>
      <w:pPr>
        <w:rPr>
          <w:rFonts w:asciiTheme="minorHAnsi" w:hAnsiTheme="minorHAnsi"/>
          <w:sz w:val="22"/>
          <w:szCs w:val="22"/>
        </w:rPr>
      </w:pPr>
      <w:r>
        <w:rPr>
          <w:rFonts w:asciiTheme="minorHAnsi" w:hAnsiTheme="minorHAnsi"/>
          <w:b/>
          <w:bCs/>
          <w:sz w:val="22"/>
          <w:szCs w:val="22"/>
        </w:rPr>
        <w:t>Replicates</w:t>
      </w:r>
    </w:p>
    <w:p>
      <w:pPr>
        <w:pStyle w:val="17"/>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7"/>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7"/>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7"/>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7"/>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7"/>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bookmarkStart w:id="1" w:name="OLE_LINK1"/>
      <w:r>
        <w:rPr>
          <w:rFonts w:hint="eastAsia" w:eastAsia="宋体" w:asciiTheme="minorHAnsi" w:hAnsiTheme="minorHAnsi"/>
          <w:lang w:val="en-US" w:eastAsia="zh-CN"/>
        </w:rPr>
        <w:t xml:space="preserve">This informatiton, such as </w:t>
      </w:r>
      <w:r>
        <w:rPr>
          <w:rFonts w:hint="eastAsia" w:asciiTheme="minorHAnsi" w:hAnsiTheme="minorHAnsi"/>
        </w:rPr>
        <w:t>retreatment of metabolomics data</w:t>
      </w:r>
      <w:r>
        <w:rPr>
          <w:rFonts w:hint="eastAsia" w:eastAsia="宋体" w:asciiTheme="minorHAnsi" w:hAnsiTheme="minorHAnsi"/>
          <w:lang w:val="en-US" w:eastAsia="zh-CN"/>
        </w:rPr>
        <w:t xml:space="preserve"> and the processing of missing values, </w:t>
      </w:r>
      <w:r>
        <w:rPr>
          <w:rFonts w:hint="eastAsia" w:asciiTheme="minorHAnsi" w:hAnsiTheme="minorHAnsi"/>
        </w:rPr>
        <w:t>can be found in the subsection of ‘Statistical analysis’ under ‘Methods’ part.</w:t>
      </w:r>
    </w:p>
    <w:bookmarkEnd w:id="1"/>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7"/>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7"/>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17"/>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7"/>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hint="eastAsia" w:asciiTheme="minorHAnsi" w:hAnsiTheme="minorHAnsi"/>
          <w:sz w:val="22"/>
          <w:szCs w:val="22"/>
        </w:rPr>
        <w:t>This informatiton</w:t>
      </w:r>
      <w:r>
        <w:rPr>
          <w:rFonts w:hint="eastAsia" w:eastAsia="宋体" w:asciiTheme="minorHAnsi" w:hAnsiTheme="minorHAnsi"/>
          <w:sz w:val="22"/>
          <w:szCs w:val="22"/>
          <w:lang w:val="en-US" w:eastAsia="zh-CN"/>
        </w:rPr>
        <w:t xml:space="preserve"> </w:t>
      </w:r>
      <w:r>
        <w:rPr>
          <w:rFonts w:hint="eastAsia" w:asciiTheme="minorHAnsi" w:hAnsiTheme="minorHAnsi"/>
          <w:sz w:val="22"/>
          <w:szCs w:val="22"/>
        </w:rPr>
        <w:t>can be found in the subsection of ‘Statistical analysis’ under ‘Methods’ part.</w:t>
      </w: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7"/>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7"/>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hint="eastAsia" w:asciiTheme="minorHAnsi" w:hAnsiTheme="minorHAnsi"/>
          <w:sz w:val="22"/>
          <w:szCs w:val="22"/>
        </w:rPr>
        <w:t>This is an observational study, and allocation is not applicable.</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7"/>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7"/>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7"/>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7"/>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7"/>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 xml:space="preserve">For researchers who are interested to access the original data, the access policy and procedures are available at www.ckbiobank.org. In brief, the China Kadoorie Biobank (CKB) is being conducted jointly by the Clinical Trial Service Unit (CTSU), Nuffield Department of Population Health, University of Oxford, and Chinese Academy of Medical Sciences (CAMS) in Beijing. Requesters should be employees of a recognized academic institution, health service organization, or charitable research organization with experience in medical research. Requestors should be able to demonstrate, through their peer-reviewed publications in the area of interest, their ability to carry out the proposed study. After registration, details of the required information are provided on the CKB Data Access </w:t>
      </w:r>
      <w:bookmarkStart w:id="2" w:name="_GoBack"/>
      <w:bookmarkEnd w:id="2"/>
      <w:r>
        <w:rPr>
          <w:rFonts w:hint="default" w:asciiTheme="minorHAnsi" w:hAnsiTheme="minorHAnsi"/>
          <w:sz w:val="22"/>
          <w:szCs w:val="22"/>
          <w:lang w:val="en-US" w:eastAsia="zh-CN"/>
        </w:rPr>
        <w:t>System. The CKB Access Team will review and respond to data requests within 6-8 weeks.</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In order to explain more clearly, all the variables required for the analysis of this study are as follows:</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1. Background: Basic [Baseline, 1st resurvey, 2nd resurvey], Demographics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2. Tea consumption: Basic [Baseline], Details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3. Alcohol consumption: Basic [Baseline], Details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4. Smoking: Basic [Baseline], Details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5. Diet: Staple foods [Baseline, 1st resurvey, 2nd resurvey], Animal products [Baseline, 1st resurvey, 2nd resurvey], Vegetables [Baseline, 1st resurvey, 2nd resurvey], Other foods [Baseline, 1st resurvey, 2nd resurvey], Drinks [2nd resurvey];</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6. Medical history: Self-rated [Baseline], Personal [Baseline], Family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7. Physical activity: Summary - MET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8. Mental health: Satisfaction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9. Physical exam: Height and weight [Baseline], Body composition [Baseline], Blood pressure [Baseline], Blood glucose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10. Biochemistry data: Blood biomarkers (lab) [Baseline], Blood biomarkers (NMR) [Baseline], Blood biomarkers (NMR) - Chylomicrons and extremely large VLDL [Baseline], Blood biomarkers (NMR) - Very large VLDL [Baseline], Blood biomarkers (NMR) - Large VLDL [Baseline], Blood biomarkers (NMR) - Medium VLDL [Baseline], Blood biomarkers (NMR) - Small VLDL [Baseline], Blood biomarkers (NMR) - Very small VLDL [Baseline], Blood biomarkers (NMR) - IDL [Baseline], Blood biomarkers (NMR) - Large LDL [Baseline], Blood biomarkers (NMR) - Medium LDL [Baseline], Blood biomarkers (NMR) - Small LDL [Baseline], Blood biomarkers (NMR) - Very large HDL [Baseline], Blood biomarkers (NMR) - Large HDL [Baseline], Blood biomarkers (NMR) - Medium HDL [Baseline], Blood biomarkers (NMR) - Small HDL [Baseline], Blood biomarkers (NMR) - LDL [Baseline], Blood biomarkers (NMR) - HDL [Baseline], Blood biomarkers (NMR) - fatty acids [Baseline].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We uploaded Stata code that was used to analyze the data.</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US" w:eastAsia="zh-CN"/>
        </w:rPr>
      </w:pPr>
      <w:r>
        <w:rPr>
          <w:rFonts w:hint="default" w:asciiTheme="minorHAnsi" w:hAnsiTheme="minorHAnsi"/>
          <w:sz w:val="22"/>
          <w:szCs w:val="22"/>
          <w:lang w:val="en-US" w:eastAsia="zh-CN"/>
        </w:rPr>
        <w:t>The numbers used to generate Figures 1 and 2 were actually table S1 and S2, which were also uploaded as Excel files. We also uploaded high-resolution raw images (TIF format) of Figures 1 and 2.</w:t>
      </w:r>
    </w:p>
    <w:p>
      <w:pPr>
        <w:rPr>
          <w:rFonts w:asciiTheme="minorHAnsi" w:hAnsiTheme="minorHAnsi"/>
          <w:sz w:val="22"/>
          <w:szCs w:val="22"/>
        </w:rPr>
      </w:pPr>
    </w:p>
    <w:p/>
    <w:p/>
    <w:p/>
    <w:sectPr>
      <w:headerReference r:id="rId4" w:type="first"/>
      <w:footerReference r:id="rId6" w:type="first"/>
      <w:headerReference r:id="rId3" w:type="default"/>
      <w:footerReference r:id="rId5" w:type="default"/>
      <w:pgSz w:w="11900" w:h="16840"/>
      <w:pgMar w:top="1440" w:right="1440" w:bottom="1440" w:left="1440" w:header="567" w:footer="567"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MS Minngs">
    <w:altName w:val="Yu Gothic UI"/>
    <w:panose1 w:val="020B06040202020202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r>
      <w:drawing>
        <wp:anchor distT="0" distB="0" distL="114300" distR="114300" simplePos="0" relativeHeight="251660288" behindDoc="0" locked="0" layoutInCell="1" allowOverlap="1">
          <wp:simplePos x="0" y="0"/>
          <wp:positionH relativeFrom="column">
            <wp:posOffset>-908050</wp:posOffset>
          </wp:positionH>
          <wp:positionV relativeFrom="paragraph">
            <wp:posOffset>19050</wp:posOffset>
          </wp:positionV>
          <wp:extent cx="7560310" cy="723900"/>
          <wp:effectExtent l="0" t="0" r="0" b="0"/>
          <wp:wrapSquare wrapText="bothSides"/>
          <wp:docPr id="9" name="image2.jpg"/>
          <wp:cNvGraphicFramePr/>
          <a:graphic xmlns:a="http://schemas.openxmlformats.org/drawingml/2006/main">
            <a:graphicData uri="http://schemas.openxmlformats.org/drawingml/2006/picture">
              <pic:pic xmlns:pic="http://schemas.openxmlformats.org/drawingml/2006/picture">
                <pic:nvPicPr>
                  <pic:cNvPr id="9" name="image2.jpg"/>
                  <pic:cNvPicPr preferRelativeResize="0"/>
                </pic:nvPicPr>
                <pic:blipFill>
                  <a:blip r:embed="rId1"/>
                  <a:srcRect/>
                  <a:stretch>
                    <a:fillRect/>
                  </a:stretch>
                </pic:blipFill>
                <pic:spPr>
                  <a:xfrm>
                    <a:off x="0" y="0"/>
                    <a:ext cx="7560000" cy="72415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r>
      <w:drawing>
        <wp:anchor distT="0" distB="0" distL="114300" distR="114300" simplePos="0" relativeHeight="251661312" behindDoc="0" locked="0" layoutInCell="1" allowOverlap="1">
          <wp:simplePos x="0" y="0"/>
          <wp:positionH relativeFrom="column">
            <wp:posOffset>-913765</wp:posOffset>
          </wp:positionH>
          <wp:positionV relativeFrom="paragraph">
            <wp:posOffset>-431165</wp:posOffset>
          </wp:positionV>
          <wp:extent cx="7559675" cy="723900"/>
          <wp:effectExtent l="0" t="0" r="0" b="0"/>
          <wp:wrapSquare wrapText="bothSides"/>
          <wp:docPr id="10" name="image2.jpg"/>
          <wp:cNvGraphicFramePr/>
          <a:graphic xmlns:a="http://schemas.openxmlformats.org/drawingml/2006/main">
            <a:graphicData uri="http://schemas.openxmlformats.org/drawingml/2006/picture">
              <pic:pic xmlns:pic="http://schemas.openxmlformats.org/drawingml/2006/picture">
                <pic:nvPicPr>
                  <pic:cNvPr id="10" name="image2.jpg"/>
                  <pic:cNvPicPr preferRelativeResize="0"/>
                </pic:nvPicPr>
                <pic:blipFill>
                  <a:blip r:embed="rId1"/>
                  <a:srcRect/>
                  <a:stretch>
                    <a:fillRect/>
                  </a:stretch>
                </pic:blipFill>
                <pic:spPr>
                  <a:xfrm>
                    <a:off x="0" y="0"/>
                    <a:ext cx="7559675" cy="7239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rPr>
        <w:color w:val="000000"/>
      </w:rPr>
    </w:pPr>
    <w:r>
      <w:drawing>
        <wp:anchor distT="0" distB="0" distL="114300" distR="114300" simplePos="0" relativeHeight="251659264" behindDoc="0" locked="0" layoutInCell="1" allowOverlap="1">
          <wp:simplePos x="0" y="0"/>
          <wp:positionH relativeFrom="column">
            <wp:posOffset>3533775</wp:posOffset>
          </wp:positionH>
          <wp:positionV relativeFrom="paragraph">
            <wp:posOffset>-256540</wp:posOffset>
          </wp:positionV>
          <wp:extent cx="3390900" cy="1038225"/>
          <wp:effectExtent l="0" t="0" r="0" b="0"/>
          <wp:wrapSquare wrapText="bothSides"/>
          <wp:docPr id="8" name="image1.jpg"/>
          <wp:cNvGraphicFramePr/>
          <a:graphic xmlns:a="http://schemas.openxmlformats.org/drawingml/2006/main">
            <a:graphicData uri="http://schemas.openxmlformats.org/drawingml/2006/picture">
              <pic:pic xmlns:pic="http://schemas.openxmlformats.org/drawingml/2006/picture">
                <pic:nvPicPr>
                  <pic:cNvPr id="8" name="image1.jpg"/>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p>
  <w:p>
    <w:pPr>
      <w:tabs>
        <w:tab w:val="center" w:pos="4513"/>
        <w:tab w:val="right" w:pos="9026"/>
      </w:tabs>
      <w:rPr>
        <w:color w:val="000000"/>
      </w:rPr>
    </w:pPr>
    <w: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11" name="image3.jpg"/>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A0248A"/>
    <w:rsid w:val="00BE5736"/>
    <w:rsid w:val="00FD4937"/>
    <w:rsid w:val="04776088"/>
    <w:rsid w:val="048F7CF9"/>
    <w:rsid w:val="05D610DF"/>
    <w:rsid w:val="09DE3211"/>
    <w:rsid w:val="0C0D6C4D"/>
    <w:rsid w:val="0C217F34"/>
    <w:rsid w:val="0CE95B9C"/>
    <w:rsid w:val="0ED25206"/>
    <w:rsid w:val="119229CC"/>
    <w:rsid w:val="12E86732"/>
    <w:rsid w:val="133B07D3"/>
    <w:rsid w:val="15070994"/>
    <w:rsid w:val="15516C20"/>
    <w:rsid w:val="163634D4"/>
    <w:rsid w:val="1BE85270"/>
    <w:rsid w:val="1E114F52"/>
    <w:rsid w:val="1EF53F2C"/>
    <w:rsid w:val="24352815"/>
    <w:rsid w:val="25CE578A"/>
    <w:rsid w:val="2676095C"/>
    <w:rsid w:val="27D54622"/>
    <w:rsid w:val="2A9A5B9B"/>
    <w:rsid w:val="2C1A3224"/>
    <w:rsid w:val="2E3D02F4"/>
    <w:rsid w:val="328533C1"/>
    <w:rsid w:val="3AB05274"/>
    <w:rsid w:val="429A07C3"/>
    <w:rsid w:val="42EE3E7D"/>
    <w:rsid w:val="45DE130F"/>
    <w:rsid w:val="46342CDD"/>
    <w:rsid w:val="48B708B2"/>
    <w:rsid w:val="53E53868"/>
    <w:rsid w:val="54F827B1"/>
    <w:rsid w:val="564B22A0"/>
    <w:rsid w:val="604005D6"/>
    <w:rsid w:val="62F111DB"/>
    <w:rsid w:val="63497970"/>
    <w:rsid w:val="641F6922"/>
    <w:rsid w:val="68F50795"/>
    <w:rsid w:val="69E50CEB"/>
    <w:rsid w:val="6DD8026E"/>
    <w:rsid w:val="6DDF784E"/>
    <w:rsid w:val="71BF32D2"/>
    <w:rsid w:val="72B0523F"/>
    <w:rsid w:val="72DD00D4"/>
    <w:rsid w:val="752D4F64"/>
    <w:rsid w:val="76211CFF"/>
    <w:rsid w:val="79DC7338"/>
    <w:rsid w:val="7DD878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sz w:val="24"/>
      <w:szCs w:val="24"/>
      <w:lang w:val="en-GB"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6"/>
    <w:unhideWhenUsed/>
    <w:qFormat/>
    <w:uiPriority w:val="99"/>
    <w:pPr>
      <w:tabs>
        <w:tab w:val="center" w:pos="4513"/>
        <w:tab w:val="right" w:pos="9026"/>
      </w:tabs>
    </w:pPr>
  </w:style>
  <w:style w:type="paragraph" w:styleId="9">
    <w:name w:val="header"/>
    <w:basedOn w:val="1"/>
    <w:link w:val="15"/>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Header Char"/>
    <w:basedOn w:val="13"/>
    <w:link w:val="9"/>
    <w:qFormat/>
    <w:uiPriority w:val="99"/>
  </w:style>
  <w:style w:type="character" w:customStyle="1" w:styleId="16">
    <w:name w:val="Footer Char"/>
    <w:basedOn w:val="13"/>
    <w:link w:val="8"/>
    <w:qFormat/>
    <w:uiPriority w:val="99"/>
  </w:style>
  <w:style w:type="paragraph" w:styleId="17">
    <w:name w:val="List Paragraph"/>
    <w:basedOn w:val="1"/>
    <w:qFormat/>
    <w:uiPriority w:val="34"/>
    <w:pPr>
      <w:ind w:left="720"/>
      <w:contextualSpacing/>
    </w:pPr>
    <w:rPr>
      <w:rFonts w:ascii="Cambria" w:hAnsi="Cambria" w:eastAsia="MS Minngs" w:cs="Times New Roman"/>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666</Words>
  <Characters>3801</Characters>
  <Lines>31</Lines>
  <Paragraphs>8</Paragraphs>
  <TotalTime>46</TotalTime>
  <ScaleCrop>false</ScaleCrop>
  <LinksUpToDate>false</LinksUpToDate>
  <CharactersWithSpaces>4459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cp:lastModifiedBy>Pan Lang</cp:lastModifiedBy>
  <dcterms:modified xsi:type="dcterms:W3CDTF">2021-11-22T02:25:10Z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557F6A7C6285483FA546FC2BC1BA098F</vt:lpwstr>
  </property>
</Properties>
</file>