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i w:val="1"/>
          <w:sz w:val="28"/>
          <w:szCs w:val="28"/>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rPr>
          <w:rFonts w:ascii="Calibri" w:cs="Calibri" w:eastAsia="Calibri" w:hAnsi="Calibri"/>
          <w:b w:val="1"/>
          <w:sz w:val="28"/>
          <w:szCs w:val="28"/>
        </w:rPr>
      </w:pPr>
      <w:r w:rsidDel="00000000" w:rsidR="00000000" w:rsidRPr="00000000">
        <w:rPr>
          <w:rFonts w:ascii="Calibri" w:cs="Calibri" w:eastAsia="Calibri" w:hAnsi="Calibri"/>
          <w:b w:val="1"/>
          <w:i w:val="1"/>
          <w:sz w:val="28"/>
          <w:szCs w:val="28"/>
          <w:rtl w:val="0"/>
        </w:rPr>
        <w:t xml:space="preserve">eLife’s</w:t>
      </w:r>
      <w:r w:rsidDel="00000000" w:rsidR="00000000" w:rsidRPr="00000000">
        <w:rPr>
          <w:rFonts w:ascii="Calibri" w:cs="Calibri" w:eastAsia="Calibri" w:hAnsi="Calibri"/>
          <w:b w:val="1"/>
          <w:sz w:val="28"/>
          <w:szCs w:val="28"/>
          <w:rtl w:val="0"/>
        </w:rPr>
        <w:t xml:space="preserve"> transparent reporting form</w:t>
      </w:r>
    </w:p>
    <w:p w:rsidR="00000000" w:rsidDel="00000000" w:rsidP="00000000" w:rsidRDefault="00000000" w:rsidRPr="00000000" w14:paraId="0000000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 encourage authors to provide detailed information </w:t>
      </w:r>
      <w:r w:rsidDel="00000000" w:rsidR="00000000" w:rsidRPr="00000000">
        <w:rPr>
          <w:rFonts w:ascii="Calibri" w:cs="Calibri" w:eastAsia="Calibri" w:hAnsi="Calibri"/>
          <w:i w:val="1"/>
          <w:sz w:val="22"/>
          <w:szCs w:val="22"/>
          <w:rtl w:val="0"/>
        </w:rPr>
        <w:t xml:space="preserve">within their submission</w:t>
      </w:r>
      <w:r w:rsidDel="00000000" w:rsidR="00000000" w:rsidRPr="00000000">
        <w:rPr>
          <w:rFonts w:ascii="Calibri" w:cs="Calibri" w:eastAsia="Calibri" w:hAnsi="Calibri"/>
          <w:sz w:val="22"/>
          <w:szCs w:val="22"/>
          <w:rtl w:val="0"/>
        </w:rPr>
        <w:t xml:space="preserve"> to facilitate the interpretation and replication of experiments. Authors can upload supporting documentation to indicate the use of appropriate reporting guidelines for health-related research (see </w:t>
      </w:r>
      <w:hyperlink r:id="rId7">
        <w:r w:rsidDel="00000000" w:rsidR="00000000" w:rsidRPr="00000000">
          <w:rPr>
            <w:rFonts w:ascii="Calibri" w:cs="Calibri" w:eastAsia="Calibri" w:hAnsi="Calibri"/>
            <w:color w:val="0563c1"/>
            <w:sz w:val="22"/>
            <w:szCs w:val="22"/>
            <w:u w:val="single"/>
            <w:rtl w:val="0"/>
          </w:rPr>
          <w:t xml:space="preserve">EQUATOR Network</w:t>
        </w:r>
      </w:hyperlink>
      <w:r w:rsidDel="00000000" w:rsidR="00000000" w:rsidRPr="00000000">
        <w:rPr>
          <w:rFonts w:ascii="Calibri" w:cs="Calibri" w:eastAsia="Calibri" w:hAnsi="Calibri"/>
          <w:sz w:val="22"/>
          <w:szCs w:val="22"/>
          <w:rtl w:val="0"/>
        </w:rPr>
        <w:t xml:space="preserve">), life science research (see the </w:t>
      </w:r>
      <w:hyperlink r:id="rId8">
        <w:r w:rsidDel="00000000" w:rsidR="00000000" w:rsidRPr="00000000">
          <w:rPr>
            <w:rFonts w:ascii="Calibri" w:cs="Calibri" w:eastAsia="Calibri" w:hAnsi="Calibri"/>
            <w:color w:val="0563c1"/>
            <w:sz w:val="22"/>
            <w:szCs w:val="22"/>
            <w:u w:val="single"/>
            <w:rtl w:val="0"/>
          </w:rPr>
          <w:t xml:space="preserve">BioSharing Information Resource</w:t>
        </w:r>
      </w:hyperlink>
      <w:r w:rsidDel="00000000" w:rsidR="00000000" w:rsidRPr="00000000">
        <w:rPr>
          <w:rFonts w:ascii="Calibri" w:cs="Calibri" w:eastAsia="Calibri" w:hAnsi="Calibri"/>
          <w:sz w:val="22"/>
          <w:szCs w:val="22"/>
          <w:rtl w:val="0"/>
        </w:rPr>
        <w:t xml:space="preserve">), or the </w:t>
      </w:r>
      <w:hyperlink r:id="rId9">
        <w:r w:rsidDel="00000000" w:rsidR="00000000" w:rsidRPr="00000000">
          <w:rPr>
            <w:rFonts w:ascii="Calibri" w:cs="Calibri" w:eastAsia="Calibri" w:hAnsi="Calibri"/>
            <w:color w:val="0563c1"/>
            <w:sz w:val="22"/>
            <w:szCs w:val="22"/>
            <w:u w:val="single"/>
            <w:rtl w:val="0"/>
          </w:rPr>
          <w:t xml:space="preserve">ARRIVE guidelines</w:t>
        </w:r>
      </w:hyperlink>
      <w:r w:rsidDel="00000000" w:rsidR="00000000" w:rsidRPr="00000000">
        <w:rPr>
          <w:rFonts w:ascii="Calibri" w:cs="Calibri" w:eastAsia="Calibri" w:hAnsi="Calibri"/>
          <w:sz w:val="22"/>
          <w:szCs w:val="22"/>
          <w:rtl w:val="0"/>
        </w:rPr>
        <w:t xml:space="preserve"> for reporting work involving animal research. Where applicable, authors should refer to any relevant reporting standards documents in this form.</w:t>
      </w:r>
    </w:p>
    <w:p w:rsidR="00000000" w:rsidDel="00000000" w:rsidP="00000000" w:rsidRDefault="00000000" w:rsidRPr="00000000" w14:paraId="00000005">
      <w:pPr>
        <w:rPr>
          <w:rFonts w:ascii="Calibri" w:cs="Calibri" w:eastAsia="Calibri" w:hAnsi="Calibri"/>
        </w:rPr>
      </w:pPr>
      <w:r w:rsidDel="00000000" w:rsidR="00000000" w:rsidRPr="00000000">
        <w:rPr>
          <w:rtl w:val="0"/>
        </w:rPr>
      </w:r>
    </w:p>
    <w:p w:rsidR="00000000" w:rsidDel="00000000" w:rsidP="00000000" w:rsidRDefault="00000000" w:rsidRPr="00000000" w14:paraId="00000006">
      <w:pPr>
        <w:rPr>
          <w:rFonts w:ascii="Calibri" w:cs="Calibri" w:eastAsia="Calibri" w:hAnsi="Calibri"/>
          <w:b w:val="1"/>
          <w:color w:val="3366ff"/>
          <w:sz w:val="22"/>
          <w:szCs w:val="22"/>
        </w:rPr>
      </w:pPr>
      <w:r w:rsidDel="00000000" w:rsidR="00000000" w:rsidRPr="00000000">
        <w:rPr>
          <w:rFonts w:ascii="Calibri" w:cs="Calibri" w:eastAsia="Calibri" w:hAnsi="Calibri"/>
          <w:sz w:val="22"/>
          <w:szCs w:val="22"/>
          <w:rtl w:val="0"/>
        </w:rPr>
        <w:t xml:space="preserve">If you have any questions, please consult our Journal Policies and/or contact us:</w:t>
      </w:r>
      <w:r w:rsidDel="00000000" w:rsidR="00000000" w:rsidRPr="00000000">
        <w:rPr>
          <w:rFonts w:ascii="Calibri" w:cs="Calibri" w:eastAsia="Calibri" w:hAnsi="Calibri"/>
          <w:color w:val="ff0000"/>
          <w:sz w:val="22"/>
          <w:szCs w:val="22"/>
          <w:rtl w:val="0"/>
        </w:rPr>
        <w:t xml:space="preserve"> </w:t>
      </w:r>
      <w:hyperlink r:id="rId10">
        <w:r w:rsidDel="00000000" w:rsidR="00000000" w:rsidRPr="00000000">
          <w:rPr>
            <w:rFonts w:ascii="Calibri" w:cs="Calibri" w:eastAsia="Calibri" w:hAnsi="Calibri"/>
            <w:color w:val="0563c1"/>
            <w:sz w:val="22"/>
            <w:szCs w:val="22"/>
            <w:u w:val="single"/>
            <w:rtl w:val="0"/>
          </w:rPr>
          <w:t xml:space="preserve">editorial@elifesciences.org</w:t>
        </w:r>
      </w:hyperlink>
      <w:r w:rsidDel="00000000" w:rsidR="00000000" w:rsidRPr="00000000">
        <w:rPr>
          <w:rFonts w:ascii="Calibri" w:cs="Calibri" w:eastAsia="Calibri" w:hAnsi="Calibri"/>
          <w:sz w:val="22"/>
          <w:szCs w:val="22"/>
          <w:rtl w:val="0"/>
        </w:rPr>
        <w:t xml:space="preserve">.</w:t>
      </w:r>
      <w:r w:rsidDel="00000000" w:rsidR="00000000" w:rsidRPr="00000000">
        <w:rPr>
          <w:rtl w:val="0"/>
        </w:rPr>
      </w:r>
    </w:p>
    <w:p w:rsidR="00000000" w:rsidDel="00000000" w:rsidP="00000000" w:rsidRDefault="00000000" w:rsidRPr="00000000" w14:paraId="00000007">
      <w:pPr>
        <w:rPr>
          <w:rFonts w:ascii="Calibri" w:cs="Calibri" w:eastAsia="Calibri" w:hAnsi="Calibri"/>
          <w:b w:val="1"/>
          <w:color w:val="3366ff"/>
          <w:sz w:val="22"/>
          <w:szCs w:val="22"/>
        </w:rPr>
      </w:pPr>
      <w:r w:rsidDel="00000000" w:rsidR="00000000" w:rsidRPr="00000000">
        <w:rPr>
          <w:rtl w:val="0"/>
        </w:rPr>
      </w:r>
    </w:p>
    <w:p w:rsidR="00000000" w:rsidDel="00000000" w:rsidP="00000000" w:rsidRDefault="00000000" w:rsidRPr="00000000" w14:paraId="00000008">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Sample-size estimation</w:t>
      </w: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should state whether an appropriate sample size was computed when the study was being designed </w:t>
      </w:r>
    </w:p>
    <w:p w:rsidR="00000000" w:rsidDel="00000000" w:rsidP="00000000" w:rsidRDefault="00000000" w:rsidRPr="00000000" w14:paraId="0000000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should state the statistical method of sample size computation and any required assumptions</w:t>
      </w:r>
    </w:p>
    <w:p w:rsidR="00000000" w:rsidDel="00000000" w:rsidP="00000000" w:rsidRDefault="00000000" w:rsidRPr="00000000" w14:paraId="0000000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no explicit power analysis was used, you should describe how you decided what sample (replicate) size (number) to use</w:t>
      </w:r>
    </w:p>
    <w:p w:rsidR="00000000" w:rsidDel="00000000" w:rsidP="00000000" w:rsidRDefault="00000000" w:rsidRPr="00000000" w14:paraId="0000000C">
      <w:pP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0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Please outline where this information can be found within the submission (e.g., sections or figure legends), or explain why this information doesn’t apply to your submission:</w:t>
      </w:r>
    </w:p>
    <w:p w:rsidR="00000000" w:rsidDel="00000000" w:rsidP="00000000" w:rsidRDefault="00000000" w:rsidRPr="00000000" w14:paraId="0000000E">
      <w:pPr>
        <w:pBdr>
          <w:top w:color="000000" w:space="1" w:sz="6" w:val="single"/>
          <w:left w:color="000000" w:space="1" w:sz="6" w:val="single"/>
          <w:bottom w:color="000000" w:space="1" w:sz="6" w:val="single"/>
          <w:right w:color="000000" w:space="1" w:sz="6" w:val="single"/>
        </w:pBdr>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No prior analysis was done to calculate sample size. In each in situ experiment and immunofluorescent staining experiment, about 100-200 embryos were used at each time point. The number of embryos reduces throughout washes. At the end, about 30-50 embryos were </w:t>
      </w:r>
      <w:r w:rsidDel="00000000" w:rsidR="00000000" w:rsidRPr="00000000">
        <w:rPr>
          <w:rFonts w:ascii="Times" w:cs="Times" w:eastAsia="Times" w:hAnsi="Times"/>
          <w:sz w:val="27"/>
          <w:szCs w:val="27"/>
          <w:rtl w:val="0"/>
        </w:rPr>
        <w:t xml:space="preserve">analyzed</w:t>
      </w:r>
      <w:r w:rsidDel="00000000" w:rsidR="00000000" w:rsidRPr="00000000">
        <w:rPr>
          <w:rFonts w:ascii="Times" w:cs="Times" w:eastAsia="Times" w:hAnsi="Times"/>
          <w:color w:val="000000"/>
          <w:sz w:val="27"/>
          <w:szCs w:val="27"/>
          <w:rtl w:val="0"/>
        </w:rPr>
        <w:t xml:space="preserve">.  For quantification of FPs expression in live embryos or larvae, fluorescence intensities were calculated from 7-10 samples for each construct. </w:t>
      </w:r>
    </w:p>
    <w:p w:rsidR="00000000" w:rsidDel="00000000" w:rsidP="00000000" w:rsidRDefault="00000000" w:rsidRPr="00000000" w14:paraId="0000000F">
      <w:pPr>
        <w:pBdr>
          <w:top w:color="000000" w:space="1" w:sz="6" w:val="single"/>
          <w:left w:color="000000" w:space="1" w:sz="6" w:val="single"/>
          <w:bottom w:color="000000" w:space="1" w:sz="6" w:val="single"/>
          <w:right w:color="000000" w:space="1" w:sz="6" w:val="single"/>
        </w:pBdr>
        <w:rPr>
          <w:rFonts w:ascii="Calibri" w:cs="Calibri" w:eastAsia="Calibri" w:hAnsi="Calibri"/>
        </w:rPr>
      </w:pPr>
      <w:r w:rsidDel="00000000" w:rsidR="00000000" w:rsidRPr="00000000">
        <w:rPr>
          <w:rtl w:val="0"/>
        </w:rPr>
      </w:r>
    </w:p>
    <w:p w:rsidR="00000000" w:rsidDel="00000000" w:rsidP="00000000" w:rsidRDefault="00000000" w:rsidRPr="00000000" w14:paraId="0000001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1">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Replicates</w:t>
      </w: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should report how often each experiment was performed</w:t>
      </w:r>
    </w:p>
    <w:p w:rsidR="00000000" w:rsidDel="00000000" w:rsidP="00000000" w:rsidRDefault="00000000" w:rsidRPr="00000000" w14:paraId="0000001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should include a definition of biological versus technical replication</w:t>
      </w:r>
    </w:p>
    <w:p w:rsidR="00000000" w:rsidDel="00000000" w:rsidP="00000000" w:rsidRDefault="00000000" w:rsidRPr="00000000" w14:paraId="0000001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data obtained should be provided and sufficient information should be provided to indicate the number of independent biological and/or technical replicates</w:t>
      </w:r>
    </w:p>
    <w:p w:rsidR="00000000" w:rsidDel="00000000" w:rsidP="00000000" w:rsidRDefault="00000000" w:rsidRPr="00000000" w14:paraId="0000001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you encountered any outliers, you should describe how these were handled</w:t>
      </w:r>
    </w:p>
    <w:p w:rsidR="00000000" w:rsidDel="00000000" w:rsidP="00000000" w:rsidRDefault="00000000" w:rsidRPr="00000000" w14:paraId="0000001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Criteria for exclusion/inclusion of data should be clearly stated</w:t>
      </w:r>
    </w:p>
    <w:p w:rsidR="00000000" w:rsidDel="00000000" w:rsidP="00000000" w:rsidRDefault="00000000" w:rsidRPr="00000000" w14:paraId="0000001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High-throughput sequence data should be uploaded before submission, with a private link for reviewers provided (these are available from both GEO and ArrayExpress)</w:t>
      </w:r>
    </w:p>
    <w:p w:rsidR="00000000" w:rsidDel="00000000" w:rsidP="00000000" w:rsidRDefault="00000000" w:rsidRPr="00000000" w14:paraId="00000018">
      <w:pP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1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Please outline where this information can be found within the submission (e.g., sections or figure legends), or explain why this information doesn’t apply to your submission:</w:t>
      </w:r>
    </w:p>
    <w:p w:rsidR="00000000" w:rsidDel="00000000" w:rsidP="00000000" w:rsidRDefault="00000000" w:rsidRPr="00000000" w14:paraId="0000001A">
      <w:pPr>
        <w:pBdr>
          <w:top w:color="000000" w:space="1" w:sz="6" w:val="single"/>
          <w:left w:color="000000" w:space="1" w:sz="6" w:val="single"/>
          <w:bottom w:color="000000" w:space="1" w:sz="6" w:val="single"/>
          <w:right w:color="000000" w:space="1" w:sz="6" w:val="single"/>
        </w:pBdr>
        <w:rPr>
          <w:rFonts w:ascii="Times New Roman" w:cs="Times New Roman" w:eastAsia="Times New Roman" w:hAnsi="Times New Roman"/>
        </w:rPr>
      </w:pPr>
      <w:r w:rsidDel="00000000" w:rsidR="00000000" w:rsidRPr="00000000">
        <w:rPr>
          <w:rFonts w:ascii="Times" w:cs="Times" w:eastAsia="Times" w:hAnsi="Times"/>
          <w:sz w:val="27"/>
          <w:szCs w:val="27"/>
          <w:rtl w:val="0"/>
        </w:rPr>
        <w:t xml:space="preserve">All replicate information can be found in figure legend and in the section “</w:t>
      </w:r>
      <w:r w:rsidDel="00000000" w:rsidR="00000000" w:rsidRPr="00000000">
        <w:rPr>
          <w:rFonts w:ascii="Arial" w:cs="Arial" w:eastAsia="Arial" w:hAnsi="Arial"/>
          <w:rtl w:val="0"/>
        </w:rPr>
        <w:t xml:space="preserve">Sample size of experiments” in Methods.</w:t>
      </w:r>
      <w:r w:rsidDel="00000000" w:rsidR="00000000" w:rsidRPr="00000000">
        <w:rPr>
          <w:rFonts w:ascii="Arial" w:cs="Arial" w:eastAsia="Arial" w:hAnsi="Arial"/>
          <w:color w:val="666666"/>
          <w:rtl w:val="0"/>
        </w:rPr>
        <w:t xml:space="preserve">  </w:t>
      </w:r>
      <w:r w:rsidDel="00000000" w:rsidR="00000000" w:rsidRPr="00000000">
        <w:rPr>
          <w:rFonts w:ascii="Arial" w:cs="Arial" w:eastAsia="Arial" w:hAnsi="Arial"/>
          <w:rtl w:val="0"/>
        </w:rPr>
        <w:t xml:space="preserve">For BAC-involving experiments each constructs</w:t>
      </w:r>
      <w:r w:rsidDel="00000000" w:rsidR="00000000" w:rsidRPr="00000000">
        <w:rPr>
          <w:rFonts w:ascii="Times" w:cs="Times" w:eastAsia="Times" w:hAnsi="Times"/>
          <w:sz w:val="27"/>
          <w:szCs w:val="27"/>
          <w:rtl w:val="0"/>
        </w:rPr>
        <w:t xml:space="preserve"> </w:t>
      </w:r>
      <w:r w:rsidDel="00000000" w:rsidR="00000000" w:rsidRPr="00000000">
        <w:rPr>
          <w:rFonts w:ascii="Times" w:cs="Times" w:eastAsia="Times" w:hAnsi="Times"/>
          <w:color w:val="000000"/>
          <w:sz w:val="27"/>
          <w:szCs w:val="27"/>
          <w:rtl w:val="0"/>
        </w:rPr>
        <w:t xml:space="preserve">were tested in 3-5 separate trials using embryos from separate matings.</w:t>
      </w:r>
      <w:r w:rsidDel="00000000" w:rsidR="00000000" w:rsidRPr="00000000">
        <w:rPr>
          <w:rtl w:val="0"/>
        </w:rPr>
      </w:r>
    </w:p>
    <w:p w:rsidR="00000000" w:rsidDel="00000000" w:rsidP="00000000" w:rsidRDefault="00000000" w:rsidRPr="00000000" w14:paraId="0000001B">
      <w:pPr>
        <w:pBdr>
          <w:top w:color="000000" w:space="1" w:sz="6" w:val="single"/>
          <w:left w:color="000000" w:space="1" w:sz="6" w:val="single"/>
          <w:bottom w:color="000000" w:space="1" w:sz="6" w:val="single"/>
          <w:right w:color="000000" w:space="1" w:sz="6" w:val="single"/>
        </w:pBdr>
        <w:rPr>
          <w:rFonts w:ascii="Calibri" w:cs="Calibri" w:eastAsia="Calibri" w:hAnsi="Calibri"/>
        </w:rPr>
      </w:pPr>
      <w:r w:rsidDel="00000000" w:rsidR="00000000" w:rsidRPr="00000000">
        <w:rPr>
          <w:rtl w:val="0"/>
        </w:rPr>
      </w:r>
    </w:p>
    <w:p w:rsidR="00000000" w:rsidDel="00000000" w:rsidP="00000000" w:rsidRDefault="00000000" w:rsidRPr="00000000" w14:paraId="0000001C">
      <w:pPr>
        <w:rPr>
          <w:rFonts w:ascii="Calibri" w:cs="Calibri" w:eastAsia="Calibri" w:hAnsi="Calibri"/>
          <w:b w:val="1"/>
        </w:rPr>
      </w:pPr>
      <w:r w:rsidDel="00000000" w:rsidR="00000000" w:rsidRPr="00000000">
        <w:rPr>
          <w:rtl w:val="0"/>
        </w:rPr>
      </w:r>
    </w:p>
    <w:p w:rsidR="00000000" w:rsidDel="00000000" w:rsidP="00000000" w:rsidRDefault="00000000" w:rsidRPr="00000000" w14:paraId="0000001D">
      <w:pPr>
        <w:rPr>
          <w:rFonts w:ascii="Calibri" w:cs="Calibri" w:eastAsia="Calibri" w:hAnsi="Calibri"/>
          <w:b w:val="1"/>
        </w:rPr>
      </w:pPr>
      <w:r w:rsidDel="00000000" w:rsidR="00000000" w:rsidRPr="00000000">
        <w:br w:type="page"/>
      </w:r>
      <w:r w:rsidDel="00000000" w:rsidR="00000000" w:rsidRPr="00000000">
        <w:rPr>
          <w:rtl w:val="0"/>
        </w:rPr>
      </w:r>
    </w:p>
    <w:p w:rsidR="00000000" w:rsidDel="00000000" w:rsidP="00000000" w:rsidRDefault="00000000" w:rsidRPr="00000000" w14:paraId="0000001E">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Statistical reporting</w:t>
      </w: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Statistical analysis methods should be described and justified</w:t>
      </w:r>
    </w:p>
    <w:p w:rsidR="00000000" w:rsidDel="00000000" w:rsidP="00000000" w:rsidRDefault="00000000" w:rsidRPr="00000000" w14:paraId="0000002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Raw data should be presented in figures whenever informative to do so (typically when N per group is less than 10)</w:t>
      </w:r>
    </w:p>
    <w:p w:rsidR="00000000" w:rsidDel="00000000" w:rsidP="00000000" w:rsidRDefault="00000000" w:rsidRPr="00000000" w14:paraId="0000002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rsidR="00000000" w:rsidDel="00000000" w:rsidP="00000000" w:rsidRDefault="00000000" w:rsidRPr="00000000" w14:paraId="0000002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Report exact p-values wherever possible alongside the summary statistics and 95% confidence intervals. These should be reported for all key questions and not only when the p-value is less than 0.05.</w:t>
      </w:r>
    </w:p>
    <w:p w:rsidR="00000000" w:rsidDel="00000000" w:rsidP="00000000" w:rsidRDefault="00000000" w:rsidRPr="00000000" w14:paraId="00000023">
      <w:pP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2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Please outline where this information can be found within the submission (e.g., sections or figure legends), or explain why this information doesn’t apply to your submission:</w:t>
      </w:r>
    </w:p>
    <w:p w:rsidR="00000000" w:rsidDel="00000000" w:rsidP="00000000" w:rsidRDefault="00000000" w:rsidRPr="00000000" w14:paraId="00000025">
      <w:pPr>
        <w:pBdr>
          <w:top w:color="000000" w:space="1" w:sz="6" w:val="single"/>
          <w:left w:color="000000" w:space="1" w:sz="6" w:val="single"/>
          <w:bottom w:color="000000" w:space="1" w:sz="6" w:val="single"/>
          <w:right w:color="000000" w:space="1" w:sz="6" w:val="single"/>
        </w:pBdr>
        <w:rPr>
          <w:rFonts w:ascii="Times" w:cs="Times" w:eastAsia="Times" w:hAnsi="Times"/>
          <w:color w:val="000000"/>
          <w:sz w:val="27"/>
          <w:szCs w:val="27"/>
        </w:rPr>
      </w:pPr>
      <w:r w:rsidDel="00000000" w:rsidR="00000000" w:rsidRPr="00000000">
        <w:rPr>
          <w:rFonts w:ascii="Times" w:cs="Times" w:eastAsia="Times" w:hAnsi="Times"/>
          <w:color w:val="000000"/>
          <w:sz w:val="27"/>
          <w:szCs w:val="27"/>
          <w:rtl w:val="0"/>
        </w:rPr>
        <w:t xml:space="preserve">The statistical analyses for BAC expression quantification were done as described in the section “Quantification of Green Sox4+ cells and statistical analyses” in Methods.</w:t>
      </w:r>
    </w:p>
    <w:p w:rsidR="00000000" w:rsidDel="00000000" w:rsidP="00000000" w:rsidRDefault="00000000" w:rsidRPr="00000000" w14:paraId="00000026">
      <w:pPr>
        <w:pBdr>
          <w:top w:color="000000" w:space="1" w:sz="6" w:val="single"/>
          <w:left w:color="000000" w:space="1" w:sz="6" w:val="single"/>
          <w:bottom w:color="000000" w:space="1" w:sz="6" w:val="single"/>
          <w:right w:color="000000" w:space="1" w:sz="6" w:val="singl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D">
      <w:pPr>
        <w:rPr>
          <w:rFonts w:ascii="Calibri" w:cs="Calibri" w:eastAsia="Calibri" w:hAnsi="Calibri"/>
          <w:b w:val="1"/>
        </w:rPr>
      </w:pPr>
      <w:r w:rsidDel="00000000" w:rsidR="00000000" w:rsidRPr="00000000">
        <w:rPr>
          <w:rFonts w:ascii="Calibri" w:cs="Calibri" w:eastAsia="Calibri" w:hAnsi="Calibri"/>
          <w:sz w:val="22"/>
          <w:szCs w:val="22"/>
          <w:rtl w:val="0"/>
        </w:rPr>
        <w:t xml:space="preserve">(For large datasets, or papers with a very large number of statistical tests, you may upload a single table file with tests, Ns, etc., with reference to sections in the manuscript.)</w:t>
      </w:r>
      <w:r w:rsidDel="00000000" w:rsidR="00000000" w:rsidRPr="00000000">
        <w:rPr>
          <w:rtl w:val="0"/>
        </w:rPr>
      </w:r>
    </w:p>
    <w:p w:rsidR="00000000" w:rsidDel="00000000" w:rsidP="00000000" w:rsidRDefault="00000000" w:rsidRPr="00000000" w14:paraId="0000002E">
      <w:pPr>
        <w:rPr>
          <w:rFonts w:ascii="Calibri" w:cs="Calibri" w:eastAsia="Calibri" w:hAnsi="Calibri"/>
          <w:b w:val="1"/>
        </w:rPr>
      </w:pPr>
      <w:r w:rsidDel="00000000" w:rsidR="00000000" w:rsidRPr="00000000">
        <w:rPr>
          <w:rtl w:val="0"/>
        </w:rPr>
      </w:r>
    </w:p>
    <w:p w:rsidR="00000000" w:rsidDel="00000000" w:rsidP="00000000" w:rsidRDefault="00000000" w:rsidRPr="00000000" w14:paraId="0000002F">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Group allocation</w:t>
      </w:r>
    </w:p>
    <w:p w:rsidR="00000000" w:rsidDel="00000000" w:rsidP="00000000" w:rsidRDefault="00000000" w:rsidRPr="00000000" w14:paraId="0000003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Indicate how samples were allocated into experimental groups (in the case of clinical studies, please specify allocation to treatment method); if randomization was used, please also state if restricted randomization was applied</w:t>
      </w:r>
    </w:p>
    <w:p w:rsidR="00000000" w:rsidDel="00000000" w:rsidP="00000000" w:rsidRDefault="00000000" w:rsidRPr="00000000" w14:paraId="0000003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Indicate if masking was used during group allocation, data collection and/or data analysis</w:t>
      </w:r>
      <w:r w:rsidDel="00000000" w:rsidR="00000000" w:rsidRPr="00000000">
        <w:rPr>
          <w:rtl w:val="0"/>
        </w:rPr>
      </w:r>
    </w:p>
    <w:p w:rsidR="00000000" w:rsidDel="00000000" w:rsidP="00000000" w:rsidRDefault="00000000" w:rsidRPr="00000000" w14:paraId="00000032">
      <w:pPr>
        <w:rPr>
          <w:rFonts w:ascii="Calibri" w:cs="Calibri" w:eastAsia="Calibri" w:hAnsi="Calibri"/>
          <w:b w:val="1"/>
          <w:sz w:val="16"/>
          <w:szCs w:val="16"/>
        </w:rPr>
      </w:pPr>
      <w:r w:rsidDel="00000000" w:rsidR="00000000" w:rsidRPr="00000000">
        <w:rPr>
          <w:rtl w:val="0"/>
        </w:rPr>
      </w:r>
    </w:p>
    <w:p w:rsidR="00000000" w:rsidDel="00000000" w:rsidP="00000000" w:rsidRDefault="00000000" w:rsidRPr="00000000" w14:paraId="0000003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Please outline where this information can be found within the submission (e.g., sections or figure legends), or explain why this information doesn’t apply to your submission:</w:t>
      </w:r>
    </w:p>
    <w:p w:rsidR="00000000" w:rsidDel="00000000" w:rsidP="00000000" w:rsidRDefault="00000000" w:rsidRPr="00000000" w14:paraId="00000034">
      <w:pPr>
        <w:pBdr>
          <w:top w:color="000000" w:space="1" w:sz="6" w:val="single"/>
          <w:left w:color="000000" w:space="1" w:sz="6" w:val="single"/>
          <w:bottom w:color="000000" w:space="1" w:sz="6" w:val="single"/>
          <w:right w:color="000000" w:space="1" w:sz="6" w:val="single"/>
        </w:pBdr>
        <w:rPr>
          <w:rFonts w:ascii="Times" w:cs="Times" w:eastAsia="Times" w:hAnsi="Times"/>
          <w:color w:val="000000"/>
          <w:sz w:val="27"/>
          <w:szCs w:val="27"/>
        </w:rPr>
      </w:pPr>
      <w:r w:rsidDel="00000000" w:rsidR="00000000" w:rsidRPr="00000000">
        <w:rPr>
          <w:rFonts w:ascii="Calibri" w:cs="Calibri" w:eastAsia="Calibri" w:hAnsi="Calibri"/>
          <w:sz w:val="22"/>
          <w:szCs w:val="22"/>
          <w:rtl w:val="0"/>
        </w:rPr>
        <w:t xml:space="preserve">S</w:t>
      </w:r>
      <w:r w:rsidDel="00000000" w:rsidR="00000000" w:rsidRPr="00000000">
        <w:rPr>
          <w:rFonts w:ascii="Times" w:cs="Times" w:eastAsia="Times" w:hAnsi="Times"/>
          <w:color w:val="000000"/>
          <w:sz w:val="27"/>
          <w:szCs w:val="27"/>
          <w:rtl w:val="0"/>
        </w:rPr>
        <w:t xml:space="preserve">ea star mating will generate thousands of embryos every time. Relatively similar numbers of the embryos from the same in vitro fertilization were allocated into experimental groups. To </w:t>
      </w:r>
      <w:r w:rsidDel="00000000" w:rsidR="00000000" w:rsidRPr="00000000">
        <w:rPr>
          <w:rFonts w:ascii="Times" w:cs="Times" w:eastAsia="Times" w:hAnsi="Times"/>
          <w:sz w:val="27"/>
          <w:szCs w:val="27"/>
          <w:rtl w:val="0"/>
        </w:rPr>
        <w:t xml:space="preserve">collect the same</w:t>
      </w:r>
      <w:r w:rsidDel="00000000" w:rsidR="00000000" w:rsidRPr="00000000">
        <w:rPr>
          <w:rFonts w:ascii="Times" w:cs="Times" w:eastAsia="Times" w:hAnsi="Times"/>
          <w:color w:val="000000"/>
          <w:sz w:val="27"/>
          <w:szCs w:val="27"/>
          <w:rtl w:val="0"/>
        </w:rPr>
        <w:t xml:space="preserve"> amount of samples, we concentrated the embryos from the same mating in a 35 mm petri dish with 3 ml of sea water. We assumed that the density of the embryos </w:t>
      </w:r>
      <w:r w:rsidDel="00000000" w:rsidR="00000000" w:rsidRPr="00000000">
        <w:rPr>
          <w:rFonts w:ascii="Times" w:cs="Times" w:eastAsia="Times" w:hAnsi="Times"/>
          <w:sz w:val="27"/>
          <w:szCs w:val="27"/>
          <w:rtl w:val="0"/>
        </w:rPr>
        <w:t xml:space="preserve">remained</w:t>
      </w:r>
      <w:r w:rsidDel="00000000" w:rsidR="00000000" w:rsidRPr="00000000">
        <w:rPr>
          <w:rFonts w:ascii="Times" w:cs="Times" w:eastAsia="Times" w:hAnsi="Times"/>
          <w:color w:val="000000"/>
          <w:sz w:val="27"/>
          <w:szCs w:val="27"/>
          <w:rtl w:val="0"/>
        </w:rPr>
        <w:t xml:space="preserve"> the same during the sample allocation,  so we </w:t>
      </w:r>
      <w:r w:rsidDel="00000000" w:rsidR="00000000" w:rsidRPr="00000000">
        <w:rPr>
          <w:rFonts w:ascii="Times" w:cs="Times" w:eastAsia="Times" w:hAnsi="Times"/>
          <w:sz w:val="27"/>
          <w:szCs w:val="27"/>
          <w:rtl w:val="0"/>
        </w:rPr>
        <w:t xml:space="preserve">added the same</w:t>
      </w:r>
      <w:r w:rsidDel="00000000" w:rsidR="00000000" w:rsidRPr="00000000">
        <w:rPr>
          <w:rFonts w:ascii="Times" w:cs="Times" w:eastAsia="Times" w:hAnsi="Times"/>
          <w:color w:val="000000"/>
          <w:sz w:val="27"/>
          <w:szCs w:val="27"/>
          <w:rtl w:val="0"/>
        </w:rPr>
        <w:t xml:space="preserve"> volume of embryo-containing sea water in each experimental group.</w:t>
      </w:r>
    </w:p>
    <w:p w:rsidR="00000000" w:rsidDel="00000000" w:rsidP="00000000" w:rsidRDefault="00000000" w:rsidRPr="00000000" w14:paraId="00000035">
      <w:pPr>
        <w:rPr>
          <w:rFonts w:ascii="Calibri" w:cs="Calibri" w:eastAsia="Calibri" w:hAnsi="Calibri"/>
          <w:b w:val="1"/>
        </w:rPr>
      </w:pPr>
      <w:r w:rsidDel="00000000" w:rsidR="00000000" w:rsidRPr="00000000">
        <w:rPr>
          <w:rtl w:val="0"/>
        </w:rPr>
      </w:r>
    </w:p>
    <w:p w:rsidR="00000000" w:rsidDel="00000000" w:rsidP="00000000" w:rsidRDefault="00000000" w:rsidRPr="00000000" w14:paraId="00000036">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Additional data files (“source data”)</w:t>
      </w:r>
    </w:p>
    <w:p w:rsidR="00000000" w:rsidDel="00000000" w:rsidP="00000000" w:rsidRDefault="00000000" w:rsidRPr="00000000" w14:paraId="0000003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encourage you to upload relevant additional data files, such as numerical data that are represented as a graph in a figure, or as a summary table</w:t>
      </w:r>
    </w:p>
    <w:p w:rsidR="00000000" w:rsidDel="00000000" w:rsidP="00000000" w:rsidRDefault="00000000" w:rsidRPr="00000000" w14:paraId="0000003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Where provided, these should be in the most useful format, and they can be uploaded as “Source data” files linked to a main figure or table</w:t>
      </w:r>
    </w:p>
    <w:p w:rsidR="00000000" w:rsidDel="00000000" w:rsidP="00000000" w:rsidRDefault="00000000" w:rsidRPr="00000000" w14:paraId="0000003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Include model definition files including the full list of parameters used</w:t>
      </w:r>
    </w:p>
    <w:p w:rsidR="00000000" w:rsidDel="00000000" w:rsidP="00000000" w:rsidRDefault="00000000" w:rsidRPr="00000000" w14:paraId="0000003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Include code used for data analysis (e.g., R, MatLab)</w:t>
      </w:r>
    </w:p>
    <w:p w:rsidR="00000000" w:rsidDel="00000000" w:rsidP="00000000" w:rsidRDefault="00000000" w:rsidRPr="00000000" w14:paraId="0000003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Avoid stating that data files are “available upon request”</w:t>
      </w:r>
    </w:p>
    <w:p w:rsidR="00000000" w:rsidDel="00000000" w:rsidP="00000000" w:rsidRDefault="00000000" w:rsidRPr="00000000" w14:paraId="0000003C">
      <w:pP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3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Please indicate the figures or tables for which source data files have been provided:</w:t>
      </w:r>
    </w:p>
    <w:p w:rsidR="00000000" w:rsidDel="00000000" w:rsidP="00000000" w:rsidRDefault="00000000" w:rsidRPr="00000000" w14:paraId="0000003E">
      <w:pPr>
        <w:pBdr>
          <w:top w:color="000000" w:space="1" w:sz="6" w:val="single"/>
          <w:left w:color="000000" w:space="1" w:sz="6" w:val="single"/>
          <w:bottom w:color="000000" w:space="1" w:sz="6" w:val="single"/>
          <w:right w:color="000000" w:space="1" w:sz="6" w:val="single"/>
        </w:pBdr>
        <w:rPr>
          <w:rFonts w:ascii="Times" w:cs="Times" w:eastAsia="Times" w:hAnsi="Times"/>
          <w:color w:val="000000"/>
          <w:sz w:val="27"/>
          <w:szCs w:val="27"/>
        </w:rPr>
      </w:pPr>
      <w:r w:rsidDel="00000000" w:rsidR="00000000" w:rsidRPr="00000000">
        <w:rPr>
          <w:rFonts w:ascii="Times" w:cs="Times" w:eastAsia="Times" w:hAnsi="Times"/>
          <w:sz w:val="27"/>
          <w:szCs w:val="27"/>
          <w:rtl w:val="0"/>
        </w:rPr>
        <w:t xml:space="preserve">Source data files have been provided for Figures 3,4 and 6: Figure 3–source data, Figure 4–source data, and Figure 6–source data. Source data files include all raw values of ascertained data.</w:t>
      </w:r>
      <w:r w:rsidDel="00000000" w:rsidR="00000000" w:rsidRPr="00000000">
        <w:rPr>
          <w:rtl w:val="0"/>
        </w:rPr>
      </w:r>
    </w:p>
    <w:p w:rsidR="00000000" w:rsidDel="00000000" w:rsidP="00000000" w:rsidRDefault="00000000" w:rsidRPr="00000000" w14:paraId="0000003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sectPr>
      <w:headerReference r:id="rId11" w:type="default"/>
      <w:headerReference r:id="rId12" w:type="first"/>
      <w:footerReference r:id="rId13" w:type="default"/>
      <w:footerReference r:id="rId14" w:type="first"/>
      <w:pgSz w:h="16840" w:w="11900" w:orient="portrait"/>
      <w:pgMar w:bottom="1440" w:top="1440" w:left="1440" w:right="1440" w:header="567" w:footer="56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Time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pBdr>
        <w:top w:space="0" w:sz="0" w:val="nil"/>
        <w:left w:space="0" w:sz="0" w:val="nil"/>
        <w:bottom w:space="0" w:sz="0" w:val="nil"/>
        <w:right w:space="0" w:sz="0" w:val="nil"/>
        <w:between w:space="0" w:sz="0" w:val="nil"/>
      </w:pBdr>
      <w:tabs>
        <w:tab w:val="center" w:pos="4513"/>
        <w:tab w:val="right" w:pos="9026"/>
      </w:tabs>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-914396</wp:posOffset>
          </wp:positionH>
          <wp:positionV relativeFrom="paragraph">
            <wp:posOffset>-431796</wp:posOffset>
          </wp:positionV>
          <wp:extent cx="7559675" cy="723900"/>
          <wp:effectExtent b="0" l="0" r="0" t="0"/>
          <wp:wrapSquare wrapText="bothSides" distB="0" distT="0" distL="114300" distR="114300"/>
          <wp:docPr id="15" name="image3.jpg"/>
          <a:graphic>
            <a:graphicData uri="http://schemas.openxmlformats.org/drawingml/2006/picture">
              <pic:pic>
                <pic:nvPicPr>
                  <pic:cNvPr id="0" name="image3.jpg"/>
                  <pic:cNvPicPr preferRelativeResize="0"/>
                </pic:nvPicPr>
                <pic:blipFill>
                  <a:blip r:embed="rId1"/>
                  <a:srcRect b="0" l="0" r="0" t="0"/>
                  <a:stretch>
                    <a:fillRect/>
                  </a:stretch>
                </pic:blipFill>
                <pic:spPr>
                  <a:xfrm>
                    <a:off x="0" y="0"/>
                    <a:ext cx="7559675" cy="723900"/>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pBdr>
        <w:top w:space="0" w:sz="0" w:val="nil"/>
        <w:left w:space="0" w:sz="0" w:val="nil"/>
        <w:bottom w:space="0" w:sz="0" w:val="nil"/>
        <w:right w:space="0" w:sz="0" w:val="nil"/>
        <w:between w:space="0" w:sz="0" w:val="nil"/>
      </w:pBdr>
      <w:tabs>
        <w:tab w:val="center" w:pos="4513"/>
        <w:tab w:val="right" w:pos="9026"/>
      </w:tabs>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-908682</wp:posOffset>
          </wp:positionH>
          <wp:positionV relativeFrom="paragraph">
            <wp:posOffset>19050</wp:posOffset>
          </wp:positionV>
          <wp:extent cx="7560000" cy="724151"/>
          <wp:effectExtent b="0" l="0" r="0" t="0"/>
          <wp:wrapSquare wrapText="bothSides" distB="0" distT="0" distL="114300" distR="114300"/>
          <wp:docPr id="14" name="image3.jpg"/>
          <a:graphic>
            <a:graphicData uri="http://schemas.openxmlformats.org/drawingml/2006/picture">
              <pic:pic>
                <pic:nvPicPr>
                  <pic:cNvPr id="0" name="image3.jpg"/>
                  <pic:cNvPicPr preferRelativeResize="0"/>
                </pic:nvPicPr>
                <pic:blipFill>
                  <a:blip r:embed="rId1"/>
                  <a:srcRect b="0" l="0" r="0" t="0"/>
                  <a:stretch>
                    <a:fillRect/>
                  </a:stretch>
                </pic:blipFill>
                <pic:spPr>
                  <a:xfrm>
                    <a:off x="0" y="0"/>
                    <a:ext cx="7560000" cy="724151"/>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tabs>
        <w:tab w:val="center" w:pos="4513"/>
        <w:tab w:val="right" w:pos="9026"/>
      </w:tabs>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3533775</wp:posOffset>
          </wp:positionH>
          <wp:positionV relativeFrom="paragraph">
            <wp:posOffset>-257173</wp:posOffset>
          </wp:positionV>
          <wp:extent cx="3390900" cy="1038225"/>
          <wp:effectExtent b="0" l="0" r="0" t="0"/>
          <wp:wrapSquare wrapText="bothSides" distB="0" distT="0" distL="114300" distR="114300"/>
          <wp:docPr id="12" name="image1.jpg"/>
          <a:graphic>
            <a:graphicData uri="http://schemas.openxmlformats.org/drawingml/2006/picture">
              <pic:pic>
                <pic:nvPicPr>
                  <pic:cNvPr id="0" name="image1.jpg"/>
                  <pic:cNvPicPr preferRelativeResize="0"/>
                </pic:nvPicPr>
                <pic:blipFill>
                  <a:blip r:embed="rId1"/>
                  <a:srcRect b="0" l="55162" r="0" t="0"/>
                  <a:stretch>
                    <a:fillRect/>
                  </a:stretch>
                </pic:blipFill>
                <pic:spPr>
                  <a:xfrm>
                    <a:off x="0" y="0"/>
                    <a:ext cx="3390900" cy="1038225"/>
                  </a:xfrm>
                  <a:prstGeom prst="rect"/>
                  <a:ln/>
                </pic:spPr>
              </pic:pic>
            </a:graphicData>
          </a:graphic>
        </wp:anchor>
      </w:drawing>
    </w:r>
  </w:p>
  <w:p w:rsidR="00000000" w:rsidDel="00000000" w:rsidP="00000000" w:rsidRDefault="00000000" w:rsidRPr="00000000" w14:paraId="00000044">
    <w:pPr>
      <w:tabs>
        <w:tab w:val="center" w:pos="4513"/>
        <w:tab w:val="right" w:pos="9026"/>
      </w:tabs>
      <w:rPr>
        <w:color w:val="000000"/>
      </w:rPr>
    </w:pPr>
    <w:r w:rsidDel="00000000" w:rsidR="00000000" w:rsidRPr="00000000">
      <w:rPr/>
      <w:drawing>
        <wp:inline distB="19050" distT="19050" distL="19050" distR="19050">
          <wp:extent cx="1295400" cy="447675"/>
          <wp:effectExtent b="0" l="0" r="0" t="0"/>
          <wp:docPr id="13" name="image2.jpg"/>
          <a:graphic>
            <a:graphicData uri="http://schemas.openxmlformats.org/drawingml/2006/picture">
              <pic:pic>
                <pic:nvPicPr>
                  <pic:cNvPr id="0" name="image2.jpg"/>
                  <pic:cNvPicPr preferRelativeResize="0"/>
                </pic:nvPicPr>
                <pic:blipFill>
                  <a:blip r:embed="rId2"/>
                  <a:srcRect b="0" l="0" r="0" t="0"/>
                  <a:stretch>
                    <a:fillRect/>
                  </a:stretch>
                </pic:blipFill>
                <pic:spPr>
                  <a:xfrm>
                    <a:off x="0" y="0"/>
                    <a:ext cx="1295400" cy="447675"/>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pBdr>
        <w:top w:space="0" w:sz="0" w:val="nil"/>
        <w:left w:space="0" w:sz="0" w:val="nil"/>
        <w:bottom w:space="0" w:sz="0" w:val="nil"/>
        <w:right w:space="0" w:sz="0" w:val="nil"/>
        <w:between w:space="0" w:sz="0" w:val="nil"/>
      </w:pBdr>
      <w:tabs>
        <w:tab w:val="center" w:pos="4513"/>
        <w:tab w:val="right" w:pos="9026"/>
      </w:tabs>
      <w:rPr>
        <w:color w:val="000000"/>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tabs>
        <w:tab w:val="center" w:pos="4513"/>
        <w:tab w:val="right" w:pos="9026"/>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Header">
    <w:name w:val="header"/>
    <w:basedOn w:val="Normal"/>
    <w:link w:val="HeaderChar"/>
    <w:uiPriority w:val="99"/>
    <w:unhideWhenUsed w:val="1"/>
    <w:rsid w:val="00CA1029"/>
    <w:pPr>
      <w:tabs>
        <w:tab w:val="center" w:pos="4513"/>
        <w:tab w:val="right" w:pos="9026"/>
      </w:tabs>
    </w:pPr>
  </w:style>
  <w:style w:type="character" w:styleId="HeaderChar" w:customStyle="1">
    <w:name w:val="Header Char"/>
    <w:basedOn w:val="DefaultParagraphFont"/>
    <w:link w:val="Header"/>
    <w:uiPriority w:val="99"/>
    <w:rsid w:val="00CA1029"/>
  </w:style>
  <w:style w:type="paragraph" w:styleId="Footer">
    <w:name w:val="footer"/>
    <w:basedOn w:val="Normal"/>
    <w:link w:val="FooterChar"/>
    <w:uiPriority w:val="99"/>
    <w:unhideWhenUsed w:val="1"/>
    <w:rsid w:val="00CA1029"/>
    <w:pPr>
      <w:tabs>
        <w:tab w:val="center" w:pos="4513"/>
        <w:tab w:val="right" w:pos="9026"/>
      </w:tabs>
    </w:pPr>
  </w:style>
  <w:style w:type="character" w:styleId="FooterChar" w:customStyle="1">
    <w:name w:val="Footer Char"/>
    <w:basedOn w:val="DefaultParagraphFont"/>
    <w:link w:val="Footer"/>
    <w:uiPriority w:val="99"/>
    <w:rsid w:val="00CA1029"/>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character" w:styleId="Hyperlink">
    <w:name w:val="Hyperlink"/>
    <w:basedOn w:val="DefaultParagraphFont"/>
    <w:uiPriority w:val="99"/>
    <w:unhideWhenUsed w:val="1"/>
    <w:rsid w:val="00FD4937"/>
    <w:rPr>
      <w:color w:val="0563c1" w:themeColor="hyperlink"/>
      <w:u w:val="single"/>
    </w:rPr>
  </w:style>
  <w:style w:type="paragraph" w:styleId="ListParagraph">
    <w:name w:val="List Paragraph"/>
    <w:basedOn w:val="Normal"/>
    <w:uiPriority w:val="34"/>
    <w:qFormat w:val="1"/>
    <w:rsid w:val="00FD4937"/>
    <w:pPr>
      <w:ind w:left="720"/>
      <w:contextualSpacing w:val="1"/>
    </w:pPr>
    <w:rPr>
      <w:rFonts w:ascii="Cambria" w:cs="Times New Roman" w:eastAsia="MS Minngs" w:hAnsi="Cambria"/>
      <w:lang w:eastAsia="en-US"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yperlink" Target="mailto:editorial@elifesciences.org" TargetMode="External"/><Relationship Id="rId13" Type="http://schemas.openxmlformats.org/officeDocument/2006/relationships/footer" Target="footer2.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equator-network.org/%20" TargetMode="External"/><Relationship Id="rId8" Type="http://schemas.openxmlformats.org/officeDocument/2006/relationships/hyperlink" Target="https://biosharing.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vsvvmGCklADuR29rPphHd5TRrw==">AMUW2mUeAYhxilTlyHAqEQ2CxeYjem1SULyTbKbLRFroxuBp4MFSJ6dEiIcUlVjRLYJNYwV4HNe73osS2SQHJ7C7cJ1vMHWMy+5xSjlOSkreZv22G1oafilS4uRBKyY1Av66ODmimYVt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2021-01-12T11:56:00Z</dcterms:created>
  <dc:creator>Dan Gould</dc:creator>
</cp:coreProperties>
</file>