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i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563c1"/>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563c1"/>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563c1"/>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563c1"/>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E">
      <w:pPr>
        <w:pBdr>
          <w:top w:color="000000" w:space="1" w:sz="6" w:val="single"/>
          <w:left w:color="000000" w:space="1" w:sz="6" w:val="single"/>
          <w:bottom w:color="000000" w:space="1" w:sz="6" w:val="single"/>
          <w:right w:color="000000" w:space="1" w:sz="6" w:val="single"/>
        </w:pBd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No prior analysis was done to calculate sample size. In each in situ experiment and immunofluorescent staining experiment, about 100-200 embryos were used at each time point. The number of embryos reduces throughout washes. At the end, about 30-50 embryos were </w:t>
      </w:r>
      <w:r w:rsidDel="00000000" w:rsidR="00000000" w:rsidRPr="00000000">
        <w:rPr>
          <w:rFonts w:ascii="Times" w:cs="Times" w:eastAsia="Times" w:hAnsi="Times"/>
          <w:sz w:val="27"/>
          <w:szCs w:val="27"/>
          <w:rtl w:val="0"/>
        </w:rPr>
        <w:t xml:space="preserve">analyzed</w:t>
      </w:r>
      <w:r w:rsidDel="00000000" w:rsidR="00000000" w:rsidRPr="00000000">
        <w:rPr>
          <w:rFonts w:ascii="Times" w:cs="Times" w:eastAsia="Times" w:hAnsi="Times"/>
          <w:color w:val="000000"/>
          <w:sz w:val="27"/>
          <w:szCs w:val="27"/>
          <w:rtl w:val="0"/>
        </w:rPr>
        <w:t xml:space="preserve">.  For quantification of FPs expression in live embryos or larvae, fluorescence intensities were calculated from 7-10 samples for each construct. </w:t>
      </w:r>
    </w:p>
    <w:p w:rsidR="00000000" w:rsidDel="00000000" w:rsidP="00000000" w:rsidRDefault="00000000" w:rsidRPr="00000000" w14:paraId="0000000F">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A">
      <w:pPr>
        <w:pBdr>
          <w:top w:color="000000" w:space="1" w:sz="6" w:val="single"/>
          <w:left w:color="000000" w:space="1" w:sz="6" w:val="single"/>
          <w:bottom w:color="000000" w:space="1" w:sz="6" w:val="single"/>
          <w:right w:color="000000" w:space="1" w:sz="6" w:val="single"/>
        </w:pBdr>
        <w:rPr>
          <w:rFonts w:ascii="Times New Roman" w:cs="Times New Roman" w:eastAsia="Times New Roman" w:hAnsi="Times New Roman"/>
        </w:rPr>
      </w:pPr>
      <w:r w:rsidDel="00000000" w:rsidR="00000000" w:rsidRPr="00000000">
        <w:rPr>
          <w:rFonts w:ascii="Times" w:cs="Times" w:eastAsia="Times" w:hAnsi="Times"/>
          <w:sz w:val="27"/>
          <w:szCs w:val="27"/>
          <w:rtl w:val="0"/>
        </w:rPr>
        <w:t xml:space="preserve">All replicate information can be found in figure legend and in the section “</w:t>
      </w:r>
      <w:r w:rsidDel="00000000" w:rsidR="00000000" w:rsidRPr="00000000">
        <w:rPr>
          <w:rFonts w:ascii="Arial" w:cs="Arial" w:eastAsia="Arial" w:hAnsi="Arial"/>
          <w:rtl w:val="0"/>
        </w:rPr>
        <w:t xml:space="preserve">Sample size of experiments” in Methods.</w:t>
      </w:r>
      <w:r w:rsidDel="00000000" w:rsidR="00000000" w:rsidRPr="00000000">
        <w:rPr>
          <w:rFonts w:ascii="Arial" w:cs="Arial" w:eastAsia="Arial" w:hAnsi="Arial"/>
          <w:color w:val="666666"/>
          <w:rtl w:val="0"/>
        </w:rPr>
        <w:t xml:space="preserve">  </w:t>
      </w:r>
      <w:r w:rsidDel="00000000" w:rsidR="00000000" w:rsidRPr="00000000">
        <w:rPr>
          <w:rFonts w:ascii="Arial" w:cs="Arial" w:eastAsia="Arial" w:hAnsi="Arial"/>
          <w:rtl w:val="0"/>
        </w:rPr>
        <w:t xml:space="preserve">For BAC-involving experiments each constructs</w:t>
      </w:r>
      <w:r w:rsidDel="00000000" w:rsidR="00000000" w:rsidRPr="00000000">
        <w:rPr>
          <w:rFonts w:ascii="Times" w:cs="Times" w:eastAsia="Times" w:hAnsi="Times"/>
          <w:sz w:val="27"/>
          <w:szCs w:val="27"/>
          <w:rtl w:val="0"/>
        </w:rPr>
        <w:t xml:space="preserve"> </w:t>
      </w:r>
      <w:r w:rsidDel="00000000" w:rsidR="00000000" w:rsidRPr="00000000">
        <w:rPr>
          <w:rFonts w:ascii="Times" w:cs="Times" w:eastAsia="Times" w:hAnsi="Times"/>
          <w:color w:val="000000"/>
          <w:sz w:val="27"/>
          <w:szCs w:val="27"/>
          <w:rtl w:val="0"/>
        </w:rPr>
        <w:t xml:space="preserve">were tested in 3-5 separate trials using embryos from separate matings.</w:t>
      </w:r>
      <w:r w:rsidDel="00000000" w:rsidR="00000000" w:rsidRPr="00000000">
        <w:rPr>
          <w:rtl w:val="0"/>
        </w:rPr>
      </w:r>
    </w:p>
    <w:p w:rsidR="00000000" w:rsidDel="00000000" w:rsidP="00000000" w:rsidRDefault="00000000" w:rsidRPr="00000000" w14:paraId="0000001B">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5">
      <w:pPr>
        <w:pBdr>
          <w:top w:color="000000" w:space="1" w:sz="6" w:val="single"/>
          <w:left w:color="000000" w:space="1" w:sz="6" w:val="single"/>
          <w:bottom w:color="000000" w:space="1" w:sz="6" w:val="single"/>
          <w:right w:color="000000" w:space="1" w:sz="6" w:val="single"/>
        </w:pBdr>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The statistical analyses for BAC expression quantification were done as described in the section “Quantification of Green Sox4+ cells and statistical analyses” in Methods.</w:t>
      </w:r>
    </w:p>
    <w:p w:rsidR="00000000" w:rsidDel="00000000" w:rsidP="00000000" w:rsidRDefault="00000000" w:rsidRPr="00000000" w14:paraId="00000026">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32">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34">
      <w:pPr>
        <w:pBdr>
          <w:top w:color="000000" w:space="1" w:sz="6" w:val="single"/>
          <w:left w:color="000000" w:space="1" w:sz="6" w:val="single"/>
          <w:bottom w:color="000000" w:space="1" w:sz="6" w:val="single"/>
          <w:right w:color="000000" w:space="1" w:sz="6" w:val="single"/>
        </w:pBdr>
        <w:rPr>
          <w:rFonts w:ascii="Times" w:cs="Times" w:eastAsia="Times" w:hAnsi="Times"/>
          <w:color w:val="000000"/>
          <w:sz w:val="27"/>
          <w:szCs w:val="27"/>
        </w:rPr>
      </w:pPr>
      <w:r w:rsidDel="00000000" w:rsidR="00000000" w:rsidRPr="00000000">
        <w:rPr>
          <w:rFonts w:ascii="Calibri" w:cs="Calibri" w:eastAsia="Calibri" w:hAnsi="Calibri"/>
          <w:sz w:val="22"/>
          <w:szCs w:val="22"/>
          <w:rtl w:val="0"/>
        </w:rPr>
        <w:t xml:space="preserve">S</w:t>
      </w:r>
      <w:r w:rsidDel="00000000" w:rsidR="00000000" w:rsidRPr="00000000">
        <w:rPr>
          <w:rFonts w:ascii="Times" w:cs="Times" w:eastAsia="Times" w:hAnsi="Times"/>
          <w:color w:val="000000"/>
          <w:sz w:val="27"/>
          <w:szCs w:val="27"/>
          <w:rtl w:val="0"/>
        </w:rPr>
        <w:t xml:space="preserve">ea star mating will generate thousands of embryos every time. Relatively similar numbers of the embryos from the same in vitro fertilization were allocated into experimental groups. To </w:t>
      </w:r>
      <w:r w:rsidDel="00000000" w:rsidR="00000000" w:rsidRPr="00000000">
        <w:rPr>
          <w:rFonts w:ascii="Times" w:cs="Times" w:eastAsia="Times" w:hAnsi="Times"/>
          <w:sz w:val="27"/>
          <w:szCs w:val="27"/>
          <w:rtl w:val="0"/>
        </w:rPr>
        <w:t xml:space="preserve">collect the same</w:t>
      </w:r>
      <w:r w:rsidDel="00000000" w:rsidR="00000000" w:rsidRPr="00000000">
        <w:rPr>
          <w:rFonts w:ascii="Times" w:cs="Times" w:eastAsia="Times" w:hAnsi="Times"/>
          <w:color w:val="000000"/>
          <w:sz w:val="27"/>
          <w:szCs w:val="27"/>
          <w:rtl w:val="0"/>
        </w:rPr>
        <w:t xml:space="preserve"> amount of samples, we concentrated the embryos from the same mating in a 35 mm petri dish with 3 ml of sea water. We assumed that the density of the embryos </w:t>
      </w:r>
      <w:r w:rsidDel="00000000" w:rsidR="00000000" w:rsidRPr="00000000">
        <w:rPr>
          <w:rFonts w:ascii="Times" w:cs="Times" w:eastAsia="Times" w:hAnsi="Times"/>
          <w:sz w:val="27"/>
          <w:szCs w:val="27"/>
          <w:rtl w:val="0"/>
        </w:rPr>
        <w:t xml:space="preserve">remained</w:t>
      </w:r>
      <w:r w:rsidDel="00000000" w:rsidR="00000000" w:rsidRPr="00000000">
        <w:rPr>
          <w:rFonts w:ascii="Times" w:cs="Times" w:eastAsia="Times" w:hAnsi="Times"/>
          <w:color w:val="000000"/>
          <w:sz w:val="27"/>
          <w:szCs w:val="27"/>
          <w:rtl w:val="0"/>
        </w:rPr>
        <w:t xml:space="preserve"> the same during the sample allocation,  so we </w:t>
      </w:r>
      <w:r w:rsidDel="00000000" w:rsidR="00000000" w:rsidRPr="00000000">
        <w:rPr>
          <w:rFonts w:ascii="Times" w:cs="Times" w:eastAsia="Times" w:hAnsi="Times"/>
          <w:sz w:val="27"/>
          <w:szCs w:val="27"/>
          <w:rtl w:val="0"/>
        </w:rPr>
        <w:t xml:space="preserve">added the same</w:t>
      </w:r>
      <w:r w:rsidDel="00000000" w:rsidR="00000000" w:rsidRPr="00000000">
        <w:rPr>
          <w:rFonts w:ascii="Times" w:cs="Times" w:eastAsia="Times" w:hAnsi="Times"/>
          <w:color w:val="000000"/>
          <w:sz w:val="27"/>
          <w:szCs w:val="27"/>
          <w:rtl w:val="0"/>
        </w:rPr>
        <w:t xml:space="preserve"> volume of embryo-containing sea water in each experimental group.</w:t>
      </w:r>
    </w:p>
    <w:p w:rsidR="00000000" w:rsidDel="00000000" w:rsidP="00000000" w:rsidRDefault="00000000" w:rsidRPr="00000000" w14:paraId="00000035">
      <w:pPr>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E">
      <w:pPr>
        <w:pBdr>
          <w:top w:color="000000" w:space="1" w:sz="6" w:val="single"/>
          <w:left w:color="000000" w:space="1" w:sz="6" w:val="single"/>
          <w:bottom w:color="000000" w:space="1" w:sz="6" w:val="single"/>
          <w:right w:color="000000" w:space="1" w:sz="6" w:val="single"/>
        </w:pBdr>
        <w:rPr>
          <w:rFonts w:ascii="Times" w:cs="Times" w:eastAsia="Times" w:hAnsi="Times"/>
          <w:color w:val="000000"/>
          <w:sz w:val="27"/>
          <w:szCs w:val="27"/>
        </w:rPr>
      </w:pPr>
      <w:r w:rsidDel="00000000" w:rsidR="00000000" w:rsidRPr="00000000">
        <w:rPr>
          <w:rFonts w:ascii="Times" w:cs="Times" w:eastAsia="Times" w:hAnsi="Times"/>
          <w:sz w:val="27"/>
          <w:szCs w:val="27"/>
          <w:rtl w:val="0"/>
        </w:rPr>
        <w:t xml:space="preserve">Source data files have been provided for Figures 3,4 and 6: Figure 3–source data, Figure 4–source data, and Figure 6–source data. Source data files include all raw values of ascertained data.</w:t>
      </w: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1440" w:left="1440" w:right="144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-431796</wp:posOffset>
          </wp:positionV>
          <wp:extent cx="7559675" cy="723900"/>
          <wp:effectExtent b="0" l="0" r="0" t="0"/>
          <wp:wrapSquare wrapText="bothSides" distB="0" distT="0" distL="114300" distR="114300"/>
          <wp:docPr id="1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59675" cy="7239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-908682</wp:posOffset>
          </wp:positionH>
          <wp:positionV relativeFrom="paragraph">
            <wp:posOffset>19050</wp:posOffset>
          </wp:positionV>
          <wp:extent cx="7560000" cy="724151"/>
          <wp:effectExtent b="0" l="0" r="0" t="0"/>
          <wp:wrapSquare wrapText="bothSides" distB="0" distT="0" distL="114300" distR="114300"/>
          <wp:docPr id="1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60000" cy="72415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3533775</wp:posOffset>
          </wp:positionH>
          <wp:positionV relativeFrom="paragraph">
            <wp:posOffset>-257173</wp:posOffset>
          </wp:positionV>
          <wp:extent cx="3390900" cy="1038225"/>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1"/>
                  <a:srcRect b="0" l="55162" r="0" t="0"/>
                  <a:stretch>
                    <a:fillRect/>
                  </a:stretch>
                </pic:blipFill>
                <pic:spPr>
                  <a:xfrm>
                    <a:off x="0" y="0"/>
                    <a:ext cx="3390900" cy="1038225"/>
                  </a:xfrm>
                  <a:prstGeom prst="rect"/>
                  <a:ln/>
                </pic:spPr>
              </pic:pic>
            </a:graphicData>
          </a:graphic>
        </wp:anchor>
      </w:drawing>
    </w:r>
  </w:p>
  <w:p w:rsidR="00000000" w:rsidDel="00000000" w:rsidP="00000000" w:rsidRDefault="00000000" w:rsidRPr="00000000" w14:paraId="00000044">
    <w:pPr>
      <w:tabs>
        <w:tab w:val="center" w:pos="4513"/>
        <w:tab w:val="right" w:pos="9026"/>
      </w:tabs>
      <w:rPr>
        <w:color w:val="000000"/>
      </w:rPr>
    </w:pPr>
    <w:r w:rsidDel="00000000" w:rsidR="00000000" w:rsidRPr="00000000">
      <w:rPr/>
      <w:drawing>
        <wp:inline distB="19050" distT="19050" distL="19050" distR="19050">
          <wp:extent cx="1295400" cy="447675"/>
          <wp:effectExtent b="0" l="0" r="0" t="0"/>
          <wp:docPr id="1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295400" cy="4476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CA1029"/>
    <w:pPr>
      <w:tabs>
        <w:tab w:val="center" w:pos="4513"/>
        <w:tab w:val="right" w:pos="9026"/>
      </w:tabs>
    </w:pPr>
  </w:style>
  <w:style w:type="character" w:styleId="HeaderChar" w:customStyle="1">
    <w:name w:val="Header Char"/>
    <w:basedOn w:val="DefaultParagraphFont"/>
    <w:link w:val="Header"/>
    <w:uiPriority w:val="99"/>
    <w:rsid w:val="00CA1029"/>
  </w:style>
  <w:style w:type="paragraph" w:styleId="Footer">
    <w:name w:val="footer"/>
    <w:basedOn w:val="Normal"/>
    <w:link w:val="FooterChar"/>
    <w:uiPriority w:val="99"/>
    <w:unhideWhenUsed w:val="1"/>
    <w:rsid w:val="00CA1029"/>
    <w:pPr>
      <w:tabs>
        <w:tab w:val="center" w:pos="4513"/>
        <w:tab w:val="right" w:pos="9026"/>
      </w:tabs>
    </w:pPr>
  </w:style>
  <w:style w:type="character" w:styleId="FooterChar" w:customStyle="1">
    <w:name w:val="Footer Char"/>
    <w:basedOn w:val="DefaultParagraphFont"/>
    <w:link w:val="Footer"/>
    <w:uiPriority w:val="99"/>
    <w:rsid w:val="00CA102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D4937"/>
    <w:rPr>
      <w:color w:val="0563c1" w:themeColor="hyperlink"/>
      <w:u w:val="single"/>
    </w:rPr>
  </w:style>
  <w:style w:type="paragraph" w:styleId="ListParagraph">
    <w:name w:val="List Paragraph"/>
    <w:basedOn w:val="Normal"/>
    <w:uiPriority w:val="34"/>
    <w:qFormat w:val="1"/>
    <w:rsid w:val="00FD4937"/>
    <w:pPr>
      <w:ind w:left="720"/>
      <w:contextualSpacing w:val="1"/>
    </w:pPr>
    <w:rPr>
      <w:rFonts w:ascii="Cambria" w:cs="Times New Roman" w:eastAsia="MS Minngs" w:hAnsi="Cambria"/>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editorial@elifesciences.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svvmGCklADuR29rPphHd5TRrw==">AMUW2mUeAYhxilTlyHAqEQ2CxeYjem1SULyTbKbLRFroxuBp4MFSJ6dEiIcUlVjRLYJNYwV4HNe73osS2SQHJ7C7cJ1vMHWMy+5xSjlOSkreZv22G1oafilS4uRBKyY1Av66ODmimYVt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cp:coreProperties>
</file>