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2277A" w14:textId="77777777" w:rsidR="008E727B" w:rsidRDefault="008D6AC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20814E5C" w14:textId="77777777" w:rsidR="008E727B" w:rsidRDefault="008D6AC3">
      <w:pPr>
        <w:spacing w:after="0" w:line="259" w:lineRule="auto"/>
        <w:ind w:left="-1" w:right="0" w:firstLine="0"/>
      </w:pPr>
      <w:r>
        <w:rPr>
          <w:noProof/>
        </w:rPr>
        <w:drawing>
          <wp:inline distT="0" distB="0" distL="0" distR="0" wp14:anchorId="2A48FA54" wp14:editId="4CB82462">
            <wp:extent cx="1295400" cy="4476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1BA7ED80" w14:textId="77777777" w:rsidR="008E727B" w:rsidRDefault="008D6AC3">
      <w:pPr>
        <w:spacing w:after="0" w:line="259" w:lineRule="auto"/>
        <w:ind w:left="0" w:right="0" w:firstLine="0"/>
      </w:pPr>
      <w:r>
        <w:rPr>
          <w:b/>
          <w:i/>
          <w:sz w:val="28"/>
        </w:rPr>
        <w:t xml:space="preserve"> </w:t>
      </w:r>
    </w:p>
    <w:p w14:paraId="144F0552" w14:textId="77777777" w:rsidR="008E727B" w:rsidRDefault="008D6AC3">
      <w:pPr>
        <w:spacing w:after="0" w:line="259" w:lineRule="auto"/>
        <w:ind w:left="0" w:right="0" w:firstLine="0"/>
      </w:pPr>
      <w:proofErr w:type="spellStart"/>
      <w:r>
        <w:rPr>
          <w:b/>
          <w:i/>
          <w:sz w:val="28"/>
        </w:rPr>
        <w:t>eLife’s</w:t>
      </w:r>
      <w:proofErr w:type="spellEnd"/>
      <w:r>
        <w:rPr>
          <w:b/>
          <w:sz w:val="28"/>
        </w:rPr>
        <w:t xml:space="preserve"> transparent reporting form </w:t>
      </w:r>
    </w:p>
    <w:p w14:paraId="368BC8A5" w14:textId="77777777" w:rsidR="008E727B" w:rsidRDefault="008D6AC3">
      <w:pPr>
        <w:spacing w:after="0" w:line="259" w:lineRule="auto"/>
        <w:ind w:left="0" w:right="0" w:firstLine="0"/>
      </w:pPr>
      <w:r>
        <w:t xml:space="preserve"> </w:t>
      </w:r>
    </w:p>
    <w:p w14:paraId="2B9D4213" w14:textId="77777777" w:rsidR="008E727B" w:rsidRDefault="008D6AC3">
      <w:r>
        <w:t xml:space="preserve">We encourage authors to provide detailed information </w:t>
      </w:r>
      <w:r>
        <w:rPr>
          <w:i/>
        </w:rPr>
        <w:t>within their submission</w:t>
      </w:r>
      <w:r>
        <w:t xml:space="preserve"> to facilitate the interpretation and replication of experiments. Authors can upload supporting documentation to indicate the use of appropriate reporting guidelines for health-related research (see</w:t>
      </w:r>
      <w:hyperlink r:id="rId7">
        <w:r>
          <w:t xml:space="preserve"> </w:t>
        </w:r>
      </w:hyperlink>
      <w:hyperlink r:id="rId8">
        <w:r>
          <w:rPr>
            <w:color w:val="0563C1"/>
            <w:u w:val="single" w:color="0563C1"/>
          </w:rPr>
          <w:t>EQUATOR</w:t>
        </w:r>
      </w:hyperlink>
      <w:hyperlink r:id="rId9">
        <w:r>
          <w:rPr>
            <w:color w:val="0563C1"/>
          </w:rPr>
          <w:t xml:space="preserve"> </w:t>
        </w:r>
      </w:hyperlink>
      <w:hyperlink r:id="rId10">
        <w:r>
          <w:rPr>
            <w:color w:val="0563C1"/>
            <w:u w:val="single" w:color="0563C1"/>
          </w:rPr>
          <w:t>Network</w:t>
        </w:r>
      </w:hyperlink>
      <w:hyperlink r:id="rId11">
        <w:r>
          <w:t>)</w:t>
        </w:r>
      </w:hyperlink>
      <w:r>
        <w:t>, life science research (see the</w:t>
      </w:r>
      <w:hyperlink r:id="rId12">
        <w:r>
          <w:t xml:space="preserve"> </w:t>
        </w:r>
      </w:hyperlink>
      <w:hyperlink r:id="rId13">
        <w:proofErr w:type="spellStart"/>
        <w:r>
          <w:rPr>
            <w:color w:val="0563C1"/>
            <w:u w:val="single" w:color="0563C1"/>
          </w:rPr>
          <w:t>BioSharing</w:t>
        </w:r>
        <w:proofErr w:type="spellEnd"/>
        <w:r>
          <w:rPr>
            <w:color w:val="0563C1"/>
            <w:u w:val="single" w:color="0563C1"/>
          </w:rPr>
          <w:t xml:space="preserve"> Information Resource</w:t>
        </w:r>
      </w:hyperlink>
      <w:hyperlink r:id="rId14">
        <w:r>
          <w:t>)</w:t>
        </w:r>
      </w:hyperlink>
      <w:r>
        <w:t>, or the</w:t>
      </w:r>
      <w:hyperlink r:id="rId15">
        <w:r>
          <w:t xml:space="preserve"> </w:t>
        </w:r>
      </w:hyperlink>
      <w:hyperlink r:id="rId16">
        <w:r>
          <w:rPr>
            <w:color w:val="0563C1"/>
            <w:u w:val="single" w:color="0563C1"/>
          </w:rPr>
          <w:t>ARRIVE</w:t>
        </w:r>
      </w:hyperlink>
      <w:hyperlink r:id="rId17">
        <w:r>
          <w:rPr>
            <w:color w:val="0563C1"/>
          </w:rPr>
          <w:t xml:space="preserve"> </w:t>
        </w:r>
      </w:hyperlink>
      <w:hyperlink r:id="rId18">
        <w:r>
          <w:rPr>
            <w:color w:val="0563C1"/>
            <w:u w:val="single" w:color="0563C1"/>
          </w:rPr>
          <w:t>guidelines</w:t>
        </w:r>
      </w:hyperlink>
      <w:hyperlink r:id="rId19">
        <w:r>
          <w:t xml:space="preserve"> </w:t>
        </w:r>
      </w:hyperlink>
      <w:r>
        <w:t xml:space="preserve">for reporting work involving animal research. Where applicable, authors should refer to any relevant reporting standards documents in this form. </w:t>
      </w:r>
    </w:p>
    <w:p w14:paraId="4AFCAE77" w14:textId="77777777" w:rsidR="008E727B" w:rsidRDefault="008D6AC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5ABDE3B8" w14:textId="77777777" w:rsidR="008E727B" w:rsidRDefault="008D6AC3">
      <w:pPr>
        <w:ind w:right="0"/>
      </w:pPr>
      <w:r>
        <w:t>If you have any questions, please consult our Journal Policies and/or contact us:</w:t>
      </w:r>
      <w:r>
        <w:rPr>
          <w:color w:val="FF0000"/>
        </w:rPr>
        <w:t xml:space="preserve"> </w:t>
      </w:r>
      <w:r>
        <w:rPr>
          <w:color w:val="0563C1"/>
          <w:u w:val="single" w:color="0563C1"/>
        </w:rPr>
        <w:t>editorial@elifesciences.org</w:t>
      </w:r>
      <w:r>
        <w:t>.</w:t>
      </w:r>
      <w:r>
        <w:rPr>
          <w:b/>
          <w:color w:val="3366FF"/>
        </w:rPr>
        <w:t xml:space="preserve"> </w:t>
      </w:r>
    </w:p>
    <w:p w14:paraId="41D5F78A" w14:textId="77777777" w:rsidR="008E727B" w:rsidRDefault="008D6AC3">
      <w:pPr>
        <w:spacing w:after="0" w:line="259" w:lineRule="auto"/>
        <w:ind w:left="0" w:right="0" w:firstLine="0"/>
      </w:pPr>
      <w:r>
        <w:rPr>
          <w:b/>
          <w:color w:val="3366FF"/>
        </w:rPr>
        <w:t xml:space="preserve"> </w:t>
      </w:r>
    </w:p>
    <w:p w14:paraId="48863FF9" w14:textId="77777777" w:rsidR="008E727B" w:rsidRDefault="008D6AC3">
      <w:pPr>
        <w:pStyle w:val="Heading1"/>
        <w:ind w:left="-5"/>
      </w:pPr>
      <w:r>
        <w:t>Sample-size estimation</w:t>
      </w:r>
      <w:r>
        <w:rPr>
          <w:b w:val="0"/>
        </w:rPr>
        <w:t xml:space="preserve"> </w:t>
      </w:r>
    </w:p>
    <w:p w14:paraId="6151214D" w14:textId="77777777" w:rsidR="008E727B" w:rsidRDefault="008D6AC3">
      <w:pPr>
        <w:numPr>
          <w:ilvl w:val="0"/>
          <w:numId w:val="1"/>
        </w:numPr>
        <w:spacing w:after="38"/>
        <w:ind w:right="0" w:hanging="360"/>
      </w:pPr>
      <w:r>
        <w:t xml:space="preserve">You should state whether an appropriate sample size was computed when the study was being designed  </w:t>
      </w:r>
    </w:p>
    <w:p w14:paraId="00776BC1" w14:textId="77777777" w:rsidR="008E727B" w:rsidRDefault="008D6AC3">
      <w:pPr>
        <w:numPr>
          <w:ilvl w:val="0"/>
          <w:numId w:val="1"/>
        </w:numPr>
        <w:spacing w:after="38"/>
        <w:ind w:right="0" w:hanging="360"/>
      </w:pPr>
      <w:r>
        <w:t xml:space="preserve">You should state the statistical method of sample size computation and any required assumptions </w:t>
      </w:r>
    </w:p>
    <w:p w14:paraId="006D8A5B" w14:textId="77777777" w:rsidR="008E727B" w:rsidRDefault="008D6AC3">
      <w:pPr>
        <w:numPr>
          <w:ilvl w:val="0"/>
          <w:numId w:val="1"/>
        </w:numPr>
        <w:ind w:right="0" w:hanging="360"/>
      </w:pPr>
      <w:r>
        <w:t xml:space="preserve">If no explicit power analysis was used, you should describe how you decided what sample (replicate) size (number) to use </w:t>
      </w:r>
    </w:p>
    <w:p w14:paraId="0561843A" w14:textId="77777777" w:rsidR="008E727B" w:rsidRDefault="008D6AC3">
      <w:pPr>
        <w:spacing w:after="44" w:line="259" w:lineRule="auto"/>
        <w:ind w:left="0" w:right="0" w:firstLine="0"/>
      </w:pPr>
      <w:r>
        <w:rPr>
          <w:sz w:val="16"/>
        </w:rPr>
        <w:t xml:space="preserve"> </w:t>
      </w:r>
    </w:p>
    <w:p w14:paraId="091A68C5" w14:textId="77777777" w:rsidR="008E727B" w:rsidRDefault="008D6AC3">
      <w:pPr>
        <w:ind w:right="0"/>
      </w:pPr>
      <w:r>
        <w:t xml:space="preserve">Please outline where this information can be found within the submission (e.g., sections or figure legends), or explain why this information doesn’t apply to your submission: </w:t>
      </w:r>
    </w:p>
    <w:tbl>
      <w:tblPr>
        <w:tblStyle w:val="TableGrid"/>
        <w:tblpPr w:vertAnchor="text" w:tblpX="358" w:tblpY="622"/>
        <w:tblOverlap w:val="never"/>
        <w:tblW w:w="7933" w:type="dxa"/>
        <w:tblInd w:w="0" w:type="dxa"/>
        <w:tblCellMar>
          <w:top w:w="7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7933"/>
      </w:tblGrid>
      <w:tr w:rsidR="008E727B" w14:paraId="7A71DFCF" w14:textId="77777777" w:rsidTr="00BA01A0">
        <w:trPr>
          <w:trHeight w:val="1075"/>
        </w:trPr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018A" w14:textId="77777777" w:rsidR="008E727B" w:rsidRDefault="00BA01A0" w:rsidP="00BA01A0">
            <w:pPr>
              <w:spacing w:after="0" w:line="259" w:lineRule="auto"/>
              <w:ind w:left="0" w:right="0" w:firstLine="0"/>
            </w:pPr>
            <w:r w:rsidRPr="00BA01A0">
              <w:rPr>
                <w:sz w:val="20"/>
              </w:rPr>
              <w:t xml:space="preserve">This study is a systematic review of the literature that did not necessitate sample size calculations. Our systematic review used pre-specified </w:t>
            </w:r>
            <w:r w:rsidR="008D6AC3" w:rsidRPr="00BA01A0">
              <w:rPr>
                <w:sz w:val="20"/>
              </w:rPr>
              <w:t xml:space="preserve"> </w:t>
            </w:r>
            <w:r w:rsidRPr="00BA01A0">
              <w:rPr>
                <w:sz w:val="20"/>
              </w:rPr>
              <w:t>inclusion and quality criteria to include all relevant studies.</w:t>
            </w:r>
          </w:p>
        </w:tc>
      </w:tr>
    </w:tbl>
    <w:p w14:paraId="7DA3FB10" w14:textId="77777777" w:rsidR="008E727B" w:rsidRDefault="008D6AC3">
      <w:pPr>
        <w:spacing w:after="581" w:line="259" w:lineRule="auto"/>
        <w:ind w:left="-1441" w:right="685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58A276" wp14:editId="165D6110">
            <wp:simplePos x="0" y="0"/>
            <wp:positionH relativeFrom="page">
              <wp:posOffset>4448175</wp:posOffset>
            </wp:positionH>
            <wp:positionV relativeFrom="page">
              <wp:posOffset>103505</wp:posOffset>
            </wp:positionV>
            <wp:extent cx="3099816" cy="1042416"/>
            <wp:effectExtent l="0" t="0" r="0" b="0"/>
            <wp:wrapTopAndBottom/>
            <wp:docPr id="2878" name="Picture 2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" name="Picture 287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99816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7614E46" wp14:editId="0B049465">
            <wp:simplePos x="0" y="0"/>
            <wp:positionH relativeFrom="page">
              <wp:posOffset>636</wp:posOffset>
            </wp:positionH>
            <wp:positionV relativeFrom="page">
              <wp:posOffset>9423412</wp:posOffset>
            </wp:positionV>
            <wp:extent cx="7543800" cy="728472"/>
            <wp:effectExtent l="0" t="0" r="0" b="0"/>
            <wp:wrapTopAndBottom/>
            <wp:docPr id="2879" name="Picture 2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" name="Picture 287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38030" w14:textId="77777777" w:rsidR="008E727B" w:rsidRDefault="008D6AC3">
      <w:pPr>
        <w:pStyle w:val="Heading1"/>
        <w:ind w:left="-5"/>
      </w:pPr>
      <w:r>
        <w:t>Replicates</w:t>
      </w:r>
      <w:r>
        <w:rPr>
          <w:b w:val="0"/>
        </w:rPr>
        <w:t xml:space="preserve"> </w:t>
      </w:r>
    </w:p>
    <w:p w14:paraId="30B97027" w14:textId="77777777" w:rsidR="008E727B" w:rsidRDefault="008D6AC3">
      <w:pPr>
        <w:numPr>
          <w:ilvl w:val="0"/>
          <w:numId w:val="2"/>
        </w:numPr>
        <w:ind w:right="0" w:hanging="360"/>
      </w:pPr>
      <w:r>
        <w:t xml:space="preserve">You should report how often each experiment was performed </w:t>
      </w:r>
    </w:p>
    <w:p w14:paraId="55106348" w14:textId="77777777" w:rsidR="008E727B" w:rsidRDefault="008D6AC3">
      <w:pPr>
        <w:numPr>
          <w:ilvl w:val="0"/>
          <w:numId w:val="2"/>
        </w:numPr>
        <w:ind w:right="0" w:hanging="360"/>
      </w:pPr>
      <w:r>
        <w:t xml:space="preserve">You should include a definition of biological versus technical replication </w:t>
      </w:r>
    </w:p>
    <w:p w14:paraId="70BD9632" w14:textId="77777777" w:rsidR="008E727B" w:rsidRDefault="008D6AC3">
      <w:pPr>
        <w:numPr>
          <w:ilvl w:val="0"/>
          <w:numId w:val="2"/>
        </w:numPr>
        <w:spacing w:after="39"/>
        <w:ind w:right="0" w:hanging="360"/>
      </w:pPr>
      <w:r>
        <w:t xml:space="preserve">The data obtained should be provided and sufficient information should be provided to indicate the number of independent biological and/or technical replicates </w:t>
      </w:r>
    </w:p>
    <w:p w14:paraId="34380296" w14:textId="77777777" w:rsidR="008E727B" w:rsidRDefault="008D6AC3">
      <w:pPr>
        <w:numPr>
          <w:ilvl w:val="0"/>
          <w:numId w:val="2"/>
        </w:numPr>
        <w:ind w:right="0" w:hanging="360"/>
      </w:pPr>
      <w:r>
        <w:t xml:space="preserve">If you encountered any outliers, you should describe how these were handled </w:t>
      </w:r>
    </w:p>
    <w:p w14:paraId="63C8093C" w14:textId="77777777" w:rsidR="008E727B" w:rsidRDefault="008D6AC3">
      <w:pPr>
        <w:numPr>
          <w:ilvl w:val="0"/>
          <w:numId w:val="2"/>
        </w:numPr>
        <w:ind w:right="0" w:hanging="360"/>
      </w:pPr>
      <w:r>
        <w:t xml:space="preserve">Criteria for exclusion/inclusion of data should be clearly stated </w:t>
      </w:r>
    </w:p>
    <w:p w14:paraId="0C172D59" w14:textId="77777777" w:rsidR="008E727B" w:rsidRDefault="008D6AC3">
      <w:pPr>
        <w:numPr>
          <w:ilvl w:val="0"/>
          <w:numId w:val="2"/>
        </w:numPr>
        <w:ind w:right="0" w:hanging="360"/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 xml:space="preserve">) </w:t>
      </w:r>
    </w:p>
    <w:p w14:paraId="70336E0B" w14:textId="77777777" w:rsidR="008E727B" w:rsidRDefault="008D6AC3">
      <w:pPr>
        <w:spacing w:after="44" w:line="259" w:lineRule="auto"/>
        <w:ind w:left="0" w:right="0" w:firstLine="0"/>
        <w:rPr>
          <w:sz w:val="16"/>
        </w:rPr>
      </w:pPr>
      <w:r>
        <w:rPr>
          <w:sz w:val="16"/>
        </w:rPr>
        <w:t xml:space="preserve"> </w:t>
      </w:r>
    </w:p>
    <w:p w14:paraId="00119D7A" w14:textId="77777777" w:rsidR="00BA01A0" w:rsidRDefault="00BA01A0">
      <w:pPr>
        <w:spacing w:after="44" w:line="259" w:lineRule="auto"/>
        <w:ind w:left="0" w:right="0" w:firstLine="0"/>
        <w:rPr>
          <w:sz w:val="16"/>
        </w:rPr>
      </w:pPr>
    </w:p>
    <w:p w14:paraId="3ED30000" w14:textId="77777777" w:rsidR="00BA01A0" w:rsidRDefault="00BA01A0">
      <w:pPr>
        <w:spacing w:after="44" w:line="259" w:lineRule="auto"/>
        <w:ind w:left="0" w:right="0" w:firstLine="0"/>
        <w:rPr>
          <w:sz w:val="16"/>
        </w:rPr>
      </w:pPr>
    </w:p>
    <w:p w14:paraId="3FB3E00F" w14:textId="77777777" w:rsidR="00BA01A0" w:rsidRDefault="00BA01A0">
      <w:pPr>
        <w:spacing w:after="44" w:line="259" w:lineRule="auto"/>
        <w:ind w:left="0" w:right="0" w:firstLine="0"/>
        <w:rPr>
          <w:sz w:val="16"/>
        </w:rPr>
      </w:pPr>
    </w:p>
    <w:p w14:paraId="72A781AD" w14:textId="77777777" w:rsidR="00BA01A0" w:rsidRDefault="00BA01A0">
      <w:pPr>
        <w:spacing w:after="44" w:line="259" w:lineRule="auto"/>
        <w:ind w:left="0" w:right="0" w:firstLine="0"/>
      </w:pPr>
    </w:p>
    <w:p w14:paraId="1F26CF13" w14:textId="77777777" w:rsidR="008E727B" w:rsidRDefault="008D6AC3">
      <w:pPr>
        <w:ind w:right="0"/>
      </w:pPr>
      <w:r>
        <w:t xml:space="preserve">Please outline where this information can be found within the submission (e.g., sections or figure legends), or explain why this information doesn’t apply to your submission: </w:t>
      </w:r>
    </w:p>
    <w:tbl>
      <w:tblPr>
        <w:tblStyle w:val="TableGrid"/>
        <w:tblW w:w="7933" w:type="dxa"/>
        <w:tblInd w:w="358" w:type="dxa"/>
        <w:tblCellMar>
          <w:top w:w="77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7933"/>
      </w:tblGrid>
      <w:tr w:rsidR="008E727B" w14:paraId="4B9B407F" w14:textId="77777777">
        <w:trPr>
          <w:trHeight w:val="1071"/>
        </w:trPr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BDE2" w14:textId="54E43ECC" w:rsidR="008E727B" w:rsidRPr="004D45C6" w:rsidRDefault="008D6AC3" w:rsidP="00F13DE6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 w:rsidR="004D45C6" w:rsidRPr="004D45C6">
              <w:rPr>
                <w:sz w:val="20"/>
                <w:szCs w:val="20"/>
              </w:rPr>
              <w:t xml:space="preserve">Our study </w:t>
            </w:r>
            <w:r w:rsidR="004D45C6">
              <w:rPr>
                <w:sz w:val="20"/>
                <w:szCs w:val="20"/>
              </w:rPr>
              <w:t xml:space="preserve">was a systematic review of published literature and therefore </w:t>
            </w:r>
            <w:r w:rsidR="004D45C6" w:rsidRPr="004D45C6">
              <w:rPr>
                <w:sz w:val="20"/>
                <w:szCs w:val="20"/>
              </w:rPr>
              <w:t xml:space="preserve">did not include any </w:t>
            </w:r>
            <w:r w:rsidR="004D45C6">
              <w:rPr>
                <w:sz w:val="20"/>
                <w:szCs w:val="20"/>
              </w:rPr>
              <w:t xml:space="preserve">biological experiments/replicates. A detailed methodology of the study protocol can be found in the Methods and </w:t>
            </w:r>
            <w:r w:rsidR="00F13DE6">
              <w:rPr>
                <w:sz w:val="20"/>
                <w:szCs w:val="20"/>
              </w:rPr>
              <w:t>Appendix 1</w:t>
            </w:r>
          </w:p>
        </w:tc>
      </w:tr>
    </w:tbl>
    <w:p w14:paraId="1E062739" w14:textId="77777777" w:rsidR="008E727B" w:rsidRDefault="008D6AC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6D1B7C70" w14:textId="77777777" w:rsidR="008E727B" w:rsidRDefault="008D6AC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5281C082" w14:textId="77777777" w:rsidR="008E727B" w:rsidRDefault="008D6AC3">
      <w:pPr>
        <w:spacing w:after="244" w:line="259" w:lineRule="auto"/>
        <w:ind w:left="0" w:right="0" w:firstLine="0"/>
      </w:pPr>
      <w:r>
        <w:rPr>
          <w:sz w:val="24"/>
        </w:rPr>
        <w:t xml:space="preserve"> </w:t>
      </w:r>
    </w:p>
    <w:p w14:paraId="56C323C0" w14:textId="77777777" w:rsidR="008E727B" w:rsidRDefault="008D6AC3">
      <w:pPr>
        <w:pStyle w:val="Heading1"/>
        <w:ind w:left="-5"/>
      </w:pPr>
      <w:r>
        <w:t>Statistical reporting</w:t>
      </w:r>
      <w:r>
        <w:rPr>
          <w:b w:val="0"/>
        </w:rPr>
        <w:t xml:space="preserve"> </w:t>
      </w:r>
    </w:p>
    <w:p w14:paraId="173F6581" w14:textId="77777777" w:rsidR="008E727B" w:rsidRDefault="008D6AC3">
      <w:pPr>
        <w:numPr>
          <w:ilvl w:val="0"/>
          <w:numId w:val="3"/>
        </w:numPr>
        <w:ind w:right="0" w:hanging="360"/>
      </w:pPr>
      <w:r>
        <w:t xml:space="preserve">Statistical analysis methods should be described and justified </w:t>
      </w:r>
    </w:p>
    <w:p w14:paraId="7625B6CA" w14:textId="77777777" w:rsidR="008E727B" w:rsidRDefault="008D6AC3">
      <w:pPr>
        <w:numPr>
          <w:ilvl w:val="0"/>
          <w:numId w:val="3"/>
        </w:numPr>
        <w:spacing w:after="38"/>
        <w:ind w:right="0" w:hanging="360"/>
      </w:pPr>
      <w:r>
        <w:t xml:space="preserve">Raw data should be presented in figures whenever informative to do so (typically when N per group is less than 10) </w:t>
      </w:r>
    </w:p>
    <w:p w14:paraId="1FE254AD" w14:textId="77777777" w:rsidR="008E727B" w:rsidRDefault="008D6AC3">
      <w:pPr>
        <w:numPr>
          <w:ilvl w:val="0"/>
          <w:numId w:val="3"/>
        </w:numPr>
        <w:spacing w:after="38"/>
        <w:ind w:right="0" w:hanging="360"/>
      </w:pPr>
      <w:r>
        <w:t xml:space="preserve">For each experiment, you should identify the statistical tests used, exact values of N, definitions of </w:t>
      </w:r>
      <w:proofErr w:type="spellStart"/>
      <w:r>
        <w:t>center</w:t>
      </w:r>
      <w:proofErr w:type="spellEnd"/>
      <w:r>
        <w:t xml:space="preserve">, methods of multiple test correction, and dispersion and precision measures (e.g., mean, median, SD, SEM, confidence intervals; and, for the major substantive results, a measure of effect size (e.g., Pearson's r, Cohen's d) </w:t>
      </w:r>
    </w:p>
    <w:p w14:paraId="48D73CE6" w14:textId="77777777" w:rsidR="008E727B" w:rsidRDefault="008D6AC3">
      <w:pPr>
        <w:numPr>
          <w:ilvl w:val="0"/>
          <w:numId w:val="3"/>
        </w:numPr>
        <w:ind w:right="0" w:hanging="360"/>
      </w:pPr>
      <w:r>
        <w:t xml:space="preserve">Report exact p-values wherever possible alongside the summary statistics and 95% confidence intervals. These should be reported for all key questions and not only when the p-value is less than 0.05. </w:t>
      </w:r>
    </w:p>
    <w:p w14:paraId="04482B69" w14:textId="77777777" w:rsidR="008E727B" w:rsidRDefault="008D6AC3">
      <w:pPr>
        <w:spacing w:after="44" w:line="259" w:lineRule="auto"/>
        <w:ind w:left="0" w:right="0" w:firstLine="0"/>
      </w:pPr>
      <w:r>
        <w:rPr>
          <w:sz w:val="16"/>
        </w:rPr>
        <w:t xml:space="preserve"> </w:t>
      </w:r>
    </w:p>
    <w:p w14:paraId="5FB6052D" w14:textId="77777777" w:rsidR="008E727B" w:rsidRDefault="008D6AC3">
      <w:pPr>
        <w:ind w:right="0"/>
      </w:pPr>
      <w:r>
        <w:t xml:space="preserve">Please outline where this information can be found within the submission (e.g., sections or figure legends), or explain why this information doesn’t apply to your submission: </w:t>
      </w:r>
    </w:p>
    <w:p w14:paraId="64F18BBA" w14:textId="77777777" w:rsidR="008E727B" w:rsidRDefault="008D6AC3">
      <w:pPr>
        <w:spacing w:after="0" w:line="259" w:lineRule="auto"/>
        <w:ind w:left="408" w:right="398" w:firstLine="0"/>
        <w:jc w:val="right"/>
      </w:pPr>
      <w:r>
        <w:t xml:space="preserve"> </w:t>
      </w:r>
    </w:p>
    <w:tbl>
      <w:tblPr>
        <w:tblStyle w:val="TableGrid"/>
        <w:tblpPr w:vertAnchor="text" w:horzAnchor="margin" w:tblpXSpec="center" w:tblpY="867"/>
        <w:tblOverlap w:val="never"/>
        <w:tblW w:w="7933" w:type="dxa"/>
        <w:tblInd w:w="0" w:type="dxa"/>
        <w:tblCellMar>
          <w:top w:w="73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7933"/>
      </w:tblGrid>
      <w:tr w:rsidR="004D45C6" w14:paraId="51A54328" w14:textId="77777777" w:rsidTr="004D45C6">
        <w:trPr>
          <w:trHeight w:val="1070"/>
        </w:trPr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4C7E" w14:textId="17C5822A" w:rsidR="004D45C6" w:rsidRDefault="003F0081" w:rsidP="004D45C6">
            <w:pPr>
              <w:spacing w:after="0" w:line="259" w:lineRule="auto"/>
              <w:ind w:left="0" w:right="0" w:firstLine="0"/>
            </w:pPr>
            <w:r>
              <w:t>See T</w:t>
            </w:r>
            <w:r w:rsidR="00695B71">
              <w:t xml:space="preserve">able </w:t>
            </w:r>
            <w:r>
              <w:t xml:space="preserve">1 </w:t>
            </w:r>
            <w:r w:rsidR="00695B71">
              <w:t>below</w:t>
            </w:r>
          </w:p>
        </w:tc>
      </w:tr>
    </w:tbl>
    <w:p w14:paraId="4C0E3703" w14:textId="77777777" w:rsidR="008E727B" w:rsidRDefault="008D6AC3" w:rsidP="004D45C6">
      <w:pPr>
        <w:spacing w:after="294"/>
        <w:ind w:left="356" w:right="0"/>
      </w:pPr>
      <w:proofErr w:type="gramStart"/>
      <w:r>
        <w:t>(</w:t>
      </w:r>
      <w:r w:rsidR="004D45C6">
        <w:t xml:space="preserve"> </w:t>
      </w:r>
      <w:r>
        <w:t>For</w:t>
      </w:r>
      <w:proofErr w:type="gramEnd"/>
      <w:r>
        <w:t xml:space="preserve"> large datasets, or papers with a very large number of statistical tests, you may upload a single table file with tests, Ns, etc., with reference to sections in the manuscript.)</w:t>
      </w:r>
      <w:r>
        <w:rPr>
          <w:b/>
          <w:sz w:val="24"/>
        </w:rPr>
        <w:t xml:space="preserve"> </w:t>
      </w:r>
    </w:p>
    <w:p w14:paraId="586153FE" w14:textId="77777777" w:rsidR="008E727B" w:rsidRDefault="008D6AC3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28E01250" w14:textId="77777777" w:rsidR="008E727B" w:rsidRDefault="008D6AC3">
      <w:pPr>
        <w:pStyle w:val="Heading1"/>
        <w:ind w:left="-5"/>
      </w:pPr>
      <w:r>
        <w:t xml:space="preserve">Group allocation </w:t>
      </w:r>
    </w:p>
    <w:p w14:paraId="372B5523" w14:textId="77777777" w:rsidR="008E727B" w:rsidRDefault="008D6AC3">
      <w:pPr>
        <w:numPr>
          <w:ilvl w:val="0"/>
          <w:numId w:val="4"/>
        </w:numPr>
        <w:spacing w:after="38"/>
        <w:ind w:right="0" w:hanging="360"/>
      </w:pPr>
      <w:r>
        <w:t xml:space="preserve">Indicate how samples were allocated into experimental groups (in the case of clinical studies, please specify allocation to treatment method); if randomization was used, please also state if restricted randomization was applied </w:t>
      </w:r>
    </w:p>
    <w:p w14:paraId="146E03E6" w14:textId="77777777" w:rsidR="008E727B" w:rsidRDefault="008D6AC3">
      <w:pPr>
        <w:numPr>
          <w:ilvl w:val="0"/>
          <w:numId w:val="4"/>
        </w:numPr>
        <w:ind w:right="0" w:hanging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9BDACAD" wp14:editId="0C96355A">
            <wp:simplePos x="0" y="0"/>
            <wp:positionH relativeFrom="page">
              <wp:posOffset>6350</wp:posOffset>
            </wp:positionH>
            <wp:positionV relativeFrom="page">
              <wp:posOffset>9423412</wp:posOffset>
            </wp:positionV>
            <wp:extent cx="7540752" cy="728472"/>
            <wp:effectExtent l="0" t="0" r="0" b="0"/>
            <wp:wrapTopAndBottom/>
            <wp:docPr id="2880" name="Picture 2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" name="Picture 288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40752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Indicate if masking was used during group allocation, data collection and/or data analysis</w:t>
      </w:r>
      <w:r>
        <w:rPr>
          <w:b/>
        </w:rPr>
        <w:t xml:space="preserve"> </w:t>
      </w:r>
    </w:p>
    <w:p w14:paraId="5B983C69" w14:textId="77777777" w:rsidR="008E727B" w:rsidRDefault="008D6AC3">
      <w:pPr>
        <w:spacing w:after="39" w:line="259" w:lineRule="auto"/>
        <w:ind w:left="0" w:right="0" w:firstLine="0"/>
      </w:pPr>
      <w:r>
        <w:rPr>
          <w:b/>
          <w:sz w:val="16"/>
        </w:rPr>
        <w:t xml:space="preserve"> </w:t>
      </w:r>
    </w:p>
    <w:p w14:paraId="7A526846" w14:textId="77777777" w:rsidR="008E727B" w:rsidRDefault="008D6AC3">
      <w:pPr>
        <w:ind w:right="0"/>
      </w:pPr>
      <w:r>
        <w:t xml:space="preserve">Please outline where this information can be found within the submission (e.g., sections or figure legends), or explain why this information doesn’t apply to your submission: </w:t>
      </w:r>
    </w:p>
    <w:tbl>
      <w:tblPr>
        <w:tblStyle w:val="TableGrid"/>
        <w:tblW w:w="7933" w:type="dxa"/>
        <w:tblInd w:w="408" w:type="dxa"/>
        <w:tblCellMar>
          <w:top w:w="73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7933"/>
      </w:tblGrid>
      <w:tr w:rsidR="008E727B" w14:paraId="68F946B2" w14:textId="77777777">
        <w:trPr>
          <w:trHeight w:val="1076"/>
        </w:trPr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7475B" w14:textId="77777777" w:rsidR="008E727B" w:rsidRPr="005C4CE8" w:rsidRDefault="008D6AC3">
            <w:pPr>
              <w:spacing w:after="0" w:line="259" w:lineRule="auto"/>
              <w:ind w:left="0" w:right="0" w:firstLine="0"/>
              <w:rPr>
                <w:sz w:val="18"/>
              </w:rPr>
            </w:pPr>
            <w:r>
              <w:t xml:space="preserve"> </w:t>
            </w:r>
            <w:r w:rsidR="005C4CE8">
              <w:rPr>
                <w:sz w:val="18"/>
              </w:rPr>
              <w:t>There was no group allocation involved in our systematic review protocol</w:t>
            </w:r>
          </w:p>
        </w:tc>
      </w:tr>
    </w:tbl>
    <w:p w14:paraId="02DDE526" w14:textId="77777777" w:rsidR="003F0081" w:rsidRDefault="003F0081">
      <w:pPr>
        <w:spacing w:after="24" w:line="259" w:lineRule="auto"/>
        <w:ind w:left="0" w:right="0" w:firstLine="0"/>
        <w:rPr>
          <w:b/>
        </w:rPr>
      </w:pPr>
    </w:p>
    <w:p w14:paraId="1792AAE7" w14:textId="77777777" w:rsidR="003F0081" w:rsidRDefault="003F0081">
      <w:pPr>
        <w:spacing w:after="24" w:line="259" w:lineRule="auto"/>
        <w:ind w:left="0" w:right="0" w:firstLine="0"/>
        <w:rPr>
          <w:b/>
        </w:rPr>
      </w:pPr>
    </w:p>
    <w:p w14:paraId="2565888A" w14:textId="77777777" w:rsidR="003F0081" w:rsidRDefault="003F0081">
      <w:pPr>
        <w:spacing w:after="24" w:line="259" w:lineRule="auto"/>
        <w:ind w:left="0" w:right="0" w:firstLine="0"/>
        <w:rPr>
          <w:b/>
        </w:rPr>
      </w:pPr>
    </w:p>
    <w:p w14:paraId="393C8422" w14:textId="77777777" w:rsidR="003F0081" w:rsidRDefault="003F0081">
      <w:pPr>
        <w:spacing w:after="24" w:line="259" w:lineRule="auto"/>
        <w:ind w:left="0" w:right="0" w:firstLine="0"/>
        <w:rPr>
          <w:b/>
        </w:rPr>
      </w:pPr>
    </w:p>
    <w:p w14:paraId="3E1A164C" w14:textId="4333E748" w:rsidR="008E727B" w:rsidRDefault="008D6AC3">
      <w:pPr>
        <w:spacing w:after="24" w:line="259" w:lineRule="auto"/>
        <w:ind w:left="0" w:right="0" w:firstLine="0"/>
      </w:pPr>
      <w:r>
        <w:rPr>
          <w:b/>
        </w:rPr>
        <w:lastRenderedPageBreak/>
        <w:t xml:space="preserve">Additional data files (“source data”) </w:t>
      </w:r>
    </w:p>
    <w:p w14:paraId="09D63036" w14:textId="77777777" w:rsidR="008E727B" w:rsidRDefault="008D6AC3">
      <w:pPr>
        <w:numPr>
          <w:ilvl w:val="0"/>
          <w:numId w:val="4"/>
        </w:numPr>
        <w:spacing w:after="39"/>
        <w:ind w:right="0" w:hanging="360"/>
      </w:pPr>
      <w:r>
        <w:t xml:space="preserve">We encourage you to upload relevant additional data files, such as numerical data that are represented as a graph in a figure, or as a summary table </w:t>
      </w:r>
    </w:p>
    <w:p w14:paraId="79044FD8" w14:textId="77777777" w:rsidR="008E727B" w:rsidRDefault="008D6AC3">
      <w:pPr>
        <w:numPr>
          <w:ilvl w:val="0"/>
          <w:numId w:val="4"/>
        </w:numPr>
        <w:spacing w:after="38"/>
        <w:ind w:right="0" w:hanging="360"/>
      </w:pPr>
      <w:r>
        <w:t xml:space="preserve">Where provided, these should be in the most useful format, and they can be uploaded as “Source data” files linked to a main figure or table </w:t>
      </w:r>
    </w:p>
    <w:p w14:paraId="35781591" w14:textId="77777777" w:rsidR="008E727B" w:rsidRDefault="008D6AC3">
      <w:pPr>
        <w:numPr>
          <w:ilvl w:val="0"/>
          <w:numId w:val="4"/>
        </w:numPr>
        <w:ind w:right="0" w:hanging="360"/>
      </w:pPr>
      <w:r>
        <w:t xml:space="preserve">Include model definition files including the full list of parameters used </w:t>
      </w:r>
    </w:p>
    <w:p w14:paraId="5AE03E81" w14:textId="77777777" w:rsidR="008E727B" w:rsidRDefault="008D6AC3">
      <w:pPr>
        <w:numPr>
          <w:ilvl w:val="0"/>
          <w:numId w:val="4"/>
        </w:numPr>
        <w:ind w:right="0" w:hanging="360"/>
      </w:pPr>
      <w:r>
        <w:t xml:space="preserve">Include code used for data analysis (e.g., R, </w:t>
      </w:r>
      <w:proofErr w:type="spellStart"/>
      <w:r>
        <w:t>MatLab</w:t>
      </w:r>
      <w:proofErr w:type="spellEnd"/>
      <w:r>
        <w:t xml:space="preserve">) </w:t>
      </w:r>
    </w:p>
    <w:p w14:paraId="67CACB1B" w14:textId="77777777" w:rsidR="008E727B" w:rsidRDefault="008D6AC3">
      <w:pPr>
        <w:numPr>
          <w:ilvl w:val="0"/>
          <w:numId w:val="4"/>
        </w:numPr>
        <w:spacing w:after="0" w:line="259" w:lineRule="auto"/>
        <w:ind w:right="0" w:hanging="360"/>
      </w:pPr>
      <w:r>
        <w:t xml:space="preserve">Avoid stating that data files are “available upon request” </w:t>
      </w:r>
    </w:p>
    <w:p w14:paraId="69DEA864" w14:textId="77777777" w:rsidR="008E727B" w:rsidRDefault="008D6AC3">
      <w:pPr>
        <w:spacing w:after="45" w:line="259" w:lineRule="auto"/>
        <w:ind w:left="0" w:right="0" w:firstLine="0"/>
      </w:pPr>
      <w:r>
        <w:rPr>
          <w:sz w:val="16"/>
        </w:rPr>
        <w:t xml:space="preserve"> </w:t>
      </w:r>
    </w:p>
    <w:p w14:paraId="1DEEFF83" w14:textId="77777777" w:rsidR="008E727B" w:rsidRDefault="008D6AC3">
      <w:pPr>
        <w:ind w:right="0"/>
      </w:pPr>
      <w:r>
        <w:t xml:space="preserve">Please indicate the figures or tables for which source data files have been provided: </w:t>
      </w:r>
    </w:p>
    <w:tbl>
      <w:tblPr>
        <w:tblStyle w:val="TableGrid"/>
        <w:tblW w:w="7933" w:type="dxa"/>
        <w:tblInd w:w="408" w:type="dxa"/>
        <w:tblCellMar>
          <w:top w:w="73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8131"/>
      </w:tblGrid>
      <w:tr w:rsidR="008E727B" w14:paraId="79E1CCFA" w14:textId="77777777">
        <w:trPr>
          <w:trHeight w:val="1075"/>
        </w:trPr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0FBD" w14:textId="408D202D" w:rsidR="008E727B" w:rsidRDefault="008D6AC3" w:rsidP="00F13DE6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5B18CC">
              <w:t xml:space="preserve">Data and code used to create Figures 2-5, Table 2, </w:t>
            </w:r>
            <w:r w:rsidR="00A704C9">
              <w:t>Figure 2-</w:t>
            </w:r>
            <w:r w:rsidR="00F13DE6">
              <w:t>4</w:t>
            </w:r>
            <w:r w:rsidR="00A704C9">
              <w:t xml:space="preserve"> Supplements, and </w:t>
            </w:r>
            <w:r w:rsidR="00F13DE6">
              <w:t>Appendices 4-10</w:t>
            </w:r>
            <w:r w:rsidR="00A704C9">
              <w:t xml:space="preserve"> can be found at </w:t>
            </w:r>
            <w:r w:rsidR="00A704C9" w:rsidRPr="00A704C9">
              <w:t>https://github.com/ellenakearney/Anopheles_salivary_biomarker_systematic_review.git</w:t>
            </w:r>
          </w:p>
        </w:tc>
      </w:tr>
    </w:tbl>
    <w:p w14:paraId="668194D2" w14:textId="77777777" w:rsidR="00E27198" w:rsidRDefault="008D6AC3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 </w:t>
      </w:r>
    </w:p>
    <w:p w14:paraId="14371BD3" w14:textId="77777777" w:rsidR="00E27198" w:rsidRDefault="00E27198">
      <w:pPr>
        <w:spacing w:after="160" w:line="259" w:lineRule="auto"/>
        <w:ind w:left="0" w:right="0" w:firstLine="0"/>
        <w:rPr>
          <w:sz w:val="24"/>
        </w:rPr>
      </w:pPr>
      <w:r>
        <w:rPr>
          <w:sz w:val="24"/>
        </w:rPr>
        <w:br w:type="page"/>
      </w:r>
    </w:p>
    <w:p w14:paraId="213337D5" w14:textId="77777777" w:rsidR="00E27198" w:rsidRDefault="00E27198">
      <w:pPr>
        <w:spacing w:after="0" w:line="259" w:lineRule="auto"/>
        <w:ind w:left="0" w:right="0" w:firstLine="0"/>
        <w:sectPr w:rsidR="00E27198">
          <w:pgSz w:w="11900" w:h="16840"/>
          <w:pgMar w:top="615" w:right="1483" w:bottom="561" w:left="1441" w:header="720" w:footer="720" w:gutter="0"/>
          <w:cols w:space="720"/>
        </w:sectPr>
      </w:pPr>
    </w:p>
    <w:p w14:paraId="4A6F52AB" w14:textId="5EC56594" w:rsidR="003F0081" w:rsidRPr="003F0081" w:rsidRDefault="003F0081" w:rsidP="003F0081">
      <w:pPr>
        <w:pStyle w:val="Caption"/>
        <w:keepNext/>
        <w:rPr>
          <w:b/>
          <w:i w:val="0"/>
          <w:sz w:val="22"/>
        </w:rPr>
      </w:pPr>
      <w:r w:rsidRPr="003F0081">
        <w:rPr>
          <w:b/>
          <w:i w:val="0"/>
          <w:sz w:val="22"/>
        </w:rPr>
        <w:lastRenderedPageBreak/>
        <w:t xml:space="preserve">Table </w:t>
      </w:r>
      <w:r w:rsidRPr="003F0081">
        <w:rPr>
          <w:b/>
          <w:i w:val="0"/>
          <w:sz w:val="22"/>
        </w:rPr>
        <w:fldChar w:fldCharType="begin"/>
      </w:r>
      <w:r w:rsidRPr="003F0081">
        <w:rPr>
          <w:b/>
          <w:i w:val="0"/>
          <w:sz w:val="22"/>
        </w:rPr>
        <w:instrText xml:space="preserve"> SEQ Table \* ARABIC </w:instrText>
      </w:r>
      <w:r w:rsidRPr="003F0081">
        <w:rPr>
          <w:b/>
          <w:i w:val="0"/>
          <w:sz w:val="22"/>
        </w:rPr>
        <w:fldChar w:fldCharType="separate"/>
      </w:r>
      <w:r w:rsidRPr="003F0081">
        <w:rPr>
          <w:b/>
          <w:i w:val="0"/>
          <w:noProof/>
          <w:sz w:val="22"/>
        </w:rPr>
        <w:t>1</w:t>
      </w:r>
      <w:r w:rsidRPr="003F0081">
        <w:rPr>
          <w:b/>
          <w:i w:val="0"/>
          <w:sz w:val="22"/>
        </w:rPr>
        <w:fldChar w:fldCharType="end"/>
      </w:r>
      <w:r w:rsidRPr="003F0081">
        <w:rPr>
          <w:b/>
          <w:i w:val="0"/>
          <w:sz w:val="22"/>
        </w:rPr>
        <w:t>: Description of analyses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681"/>
        <w:gridCol w:w="2609"/>
        <w:gridCol w:w="2609"/>
        <w:gridCol w:w="6264"/>
      </w:tblGrid>
      <w:tr w:rsidR="00E27198" w14:paraId="3C7D0D35" w14:textId="77777777" w:rsidTr="00E27198">
        <w:tc>
          <w:tcPr>
            <w:tcW w:w="3681" w:type="dxa"/>
          </w:tcPr>
          <w:p w14:paraId="44F1B979" w14:textId="77777777" w:rsidR="00E27198" w:rsidRPr="00255310" w:rsidRDefault="00E27198">
            <w:pPr>
              <w:spacing w:after="0" w:line="259" w:lineRule="auto"/>
              <w:ind w:left="0" w:right="0" w:firstLine="0"/>
              <w:rPr>
                <w:b/>
              </w:rPr>
            </w:pPr>
            <w:r w:rsidRPr="00255310">
              <w:rPr>
                <w:b/>
              </w:rPr>
              <w:t>Analysis</w:t>
            </w:r>
          </w:p>
        </w:tc>
        <w:tc>
          <w:tcPr>
            <w:tcW w:w="2609" w:type="dxa"/>
          </w:tcPr>
          <w:p w14:paraId="086541A9" w14:textId="77777777" w:rsidR="00E27198" w:rsidRPr="00255310" w:rsidRDefault="00E27198">
            <w:pPr>
              <w:spacing w:after="0" w:line="259" w:lineRule="auto"/>
              <w:ind w:left="0" w:right="0" w:firstLine="0"/>
              <w:rPr>
                <w:b/>
              </w:rPr>
            </w:pPr>
            <w:r w:rsidRPr="00255310">
              <w:rPr>
                <w:b/>
              </w:rPr>
              <w:t>N</w:t>
            </w:r>
          </w:p>
        </w:tc>
        <w:tc>
          <w:tcPr>
            <w:tcW w:w="2609" w:type="dxa"/>
          </w:tcPr>
          <w:p w14:paraId="2F9496AF" w14:textId="77777777" w:rsidR="00E27198" w:rsidRPr="00255310" w:rsidRDefault="00E27198">
            <w:pPr>
              <w:spacing w:after="0" w:line="259" w:lineRule="auto"/>
              <w:ind w:left="0" w:right="0" w:firstLine="0"/>
              <w:rPr>
                <w:b/>
              </w:rPr>
            </w:pPr>
            <w:r w:rsidRPr="00255310">
              <w:rPr>
                <w:b/>
              </w:rPr>
              <w:t>Method</w:t>
            </w:r>
          </w:p>
        </w:tc>
        <w:tc>
          <w:tcPr>
            <w:tcW w:w="6264" w:type="dxa"/>
          </w:tcPr>
          <w:p w14:paraId="72658A71" w14:textId="77777777" w:rsidR="00E27198" w:rsidRPr="00255310" w:rsidRDefault="00E27198">
            <w:pPr>
              <w:spacing w:after="0" w:line="259" w:lineRule="auto"/>
              <w:ind w:left="0" w:right="0" w:firstLine="0"/>
              <w:rPr>
                <w:b/>
              </w:rPr>
            </w:pPr>
            <w:r w:rsidRPr="00255310">
              <w:rPr>
                <w:b/>
              </w:rPr>
              <w:t>Location of description</w:t>
            </w:r>
          </w:p>
        </w:tc>
      </w:tr>
      <w:tr w:rsidR="00E27198" w14:paraId="46D94229" w14:textId="77777777" w:rsidTr="00E27198">
        <w:tc>
          <w:tcPr>
            <w:tcW w:w="3681" w:type="dxa"/>
          </w:tcPr>
          <w:p w14:paraId="24708358" w14:textId="77777777" w:rsidR="00E27198" w:rsidRDefault="00E27198">
            <w:pPr>
              <w:spacing w:after="0" w:line="259" w:lineRule="auto"/>
              <w:ind w:left="0" w:right="0" w:firstLine="0"/>
            </w:pPr>
            <w:r>
              <w:t>Association between gSG6 IgG seropositivity and HBR</w:t>
            </w:r>
          </w:p>
        </w:tc>
        <w:tc>
          <w:tcPr>
            <w:tcW w:w="2609" w:type="dxa"/>
          </w:tcPr>
          <w:p w14:paraId="0B6B9FB0" w14:textId="77777777" w:rsidR="00E27198" w:rsidRDefault="00E27198">
            <w:pPr>
              <w:spacing w:after="0" w:line="259" w:lineRule="auto"/>
              <w:ind w:left="0" w:right="0" w:firstLine="0"/>
            </w:pPr>
            <w:r>
              <w:t xml:space="preserve">132 meta-observations, </w:t>
            </w:r>
          </w:p>
          <w:p w14:paraId="3AD9D8D0" w14:textId="77777777" w:rsidR="00E27198" w:rsidRDefault="00E27198">
            <w:pPr>
              <w:spacing w:after="0" w:line="259" w:lineRule="auto"/>
              <w:ind w:left="0" w:right="0" w:firstLine="0"/>
            </w:pPr>
            <w:r>
              <w:t>12 studies</w:t>
            </w:r>
          </w:p>
        </w:tc>
        <w:tc>
          <w:tcPr>
            <w:tcW w:w="2609" w:type="dxa"/>
          </w:tcPr>
          <w:p w14:paraId="525F6E0A" w14:textId="77777777" w:rsidR="00E27198" w:rsidRDefault="00E27198">
            <w:pPr>
              <w:spacing w:after="0" w:line="259" w:lineRule="auto"/>
              <w:ind w:left="0" w:right="0" w:firstLine="0"/>
            </w:pPr>
            <w:r>
              <w:t>Generalised multi-level modelling</w:t>
            </w:r>
          </w:p>
        </w:tc>
        <w:tc>
          <w:tcPr>
            <w:tcW w:w="6264" w:type="dxa"/>
          </w:tcPr>
          <w:p w14:paraId="320D649A" w14:textId="70FAECA7" w:rsidR="00E27198" w:rsidRDefault="00E27198" w:rsidP="00C84C9B">
            <w:pPr>
              <w:spacing w:after="0" w:line="259" w:lineRule="auto"/>
              <w:ind w:left="0" w:right="0" w:firstLine="0"/>
            </w:pPr>
            <w:r>
              <w:t>Metho</w:t>
            </w:r>
            <w:r w:rsidR="00C84C9B">
              <w:t>ds, Results page 14-16, Figures 2&amp;3</w:t>
            </w:r>
            <w:r>
              <w:t xml:space="preserve">, </w:t>
            </w:r>
            <w:r w:rsidR="00C84C9B">
              <w:t>Appendix 4</w:t>
            </w:r>
            <w:r>
              <w:t xml:space="preserve">, </w:t>
            </w:r>
            <w:r w:rsidR="00F86EA6">
              <w:t>Figure 2 – Supplement 1</w:t>
            </w:r>
          </w:p>
        </w:tc>
      </w:tr>
      <w:tr w:rsidR="00E27198" w14:paraId="2A6AC69F" w14:textId="77777777" w:rsidTr="00E27198">
        <w:tc>
          <w:tcPr>
            <w:tcW w:w="3681" w:type="dxa"/>
          </w:tcPr>
          <w:p w14:paraId="17CBED0C" w14:textId="77777777" w:rsidR="00E27198" w:rsidRDefault="00E27198" w:rsidP="00E27198">
            <w:pPr>
              <w:spacing w:after="0" w:line="259" w:lineRule="auto"/>
              <w:ind w:left="0" w:right="0" w:firstLine="0"/>
            </w:pPr>
            <w:r>
              <w:t>Association between gSG6 IgG seropositivity and HBR, moderated by DVS</w:t>
            </w:r>
          </w:p>
        </w:tc>
        <w:tc>
          <w:tcPr>
            <w:tcW w:w="2609" w:type="dxa"/>
          </w:tcPr>
          <w:p w14:paraId="0551AA26" w14:textId="77777777" w:rsidR="00E27198" w:rsidRDefault="00E27198" w:rsidP="00E27198">
            <w:pPr>
              <w:spacing w:after="0" w:line="259" w:lineRule="auto"/>
              <w:ind w:left="0" w:right="0" w:firstLine="0"/>
            </w:pPr>
            <w:r>
              <w:t>132 meta-observations, 12 studies</w:t>
            </w:r>
          </w:p>
        </w:tc>
        <w:tc>
          <w:tcPr>
            <w:tcW w:w="2609" w:type="dxa"/>
          </w:tcPr>
          <w:p w14:paraId="28F91D8B" w14:textId="77777777" w:rsidR="00E27198" w:rsidRDefault="00E27198" w:rsidP="00E27198">
            <w:pPr>
              <w:spacing w:after="0" w:line="259" w:lineRule="auto"/>
              <w:ind w:left="0" w:right="0" w:firstLine="0"/>
            </w:pPr>
            <w:r>
              <w:t>Generalised multi-level modelling</w:t>
            </w:r>
          </w:p>
        </w:tc>
        <w:tc>
          <w:tcPr>
            <w:tcW w:w="6264" w:type="dxa"/>
          </w:tcPr>
          <w:p w14:paraId="77EF17A3" w14:textId="670355CE" w:rsidR="00E27198" w:rsidRDefault="00E27198" w:rsidP="00C84C9B">
            <w:pPr>
              <w:spacing w:after="0" w:line="259" w:lineRule="auto"/>
              <w:ind w:left="0" w:right="0" w:firstLine="0"/>
            </w:pPr>
            <w:r>
              <w:t>Methods, Results page 13</w:t>
            </w:r>
            <w:r w:rsidR="00C84C9B">
              <w:t xml:space="preserve"> +16</w:t>
            </w:r>
            <w:r>
              <w:t xml:space="preserve">, Figure </w:t>
            </w:r>
            <w:r w:rsidR="00C84C9B">
              <w:t>3</w:t>
            </w:r>
            <w:r>
              <w:t xml:space="preserve">, Appendix </w:t>
            </w:r>
            <w:r w:rsidR="00C84C9B">
              <w:t>5</w:t>
            </w:r>
            <w:r>
              <w:t xml:space="preserve">, </w:t>
            </w:r>
            <w:r w:rsidR="00F86EA6">
              <w:t xml:space="preserve">Figure </w:t>
            </w:r>
            <w:r w:rsidR="00C84C9B">
              <w:t>3</w:t>
            </w:r>
            <w:r w:rsidR="00F86EA6">
              <w:t xml:space="preserve"> – Supplement 1</w:t>
            </w:r>
          </w:p>
        </w:tc>
      </w:tr>
      <w:tr w:rsidR="00577761" w14:paraId="3522C9E5" w14:textId="77777777" w:rsidTr="00E27198">
        <w:tc>
          <w:tcPr>
            <w:tcW w:w="3681" w:type="dxa"/>
          </w:tcPr>
          <w:p w14:paraId="5D5285B8" w14:textId="77777777" w:rsidR="00577761" w:rsidRDefault="00577761" w:rsidP="00577761">
            <w:pPr>
              <w:spacing w:after="0" w:line="259" w:lineRule="auto"/>
              <w:ind w:left="0" w:right="0" w:firstLine="0"/>
            </w:pPr>
            <w:r>
              <w:t>Association between gSG6 IgG seropositivity and EIR</w:t>
            </w:r>
          </w:p>
        </w:tc>
        <w:tc>
          <w:tcPr>
            <w:tcW w:w="2609" w:type="dxa"/>
          </w:tcPr>
          <w:p w14:paraId="41E0DA61" w14:textId="77777777" w:rsidR="00577761" w:rsidRDefault="00577761" w:rsidP="00577761">
            <w:pPr>
              <w:spacing w:after="0" w:line="259" w:lineRule="auto"/>
              <w:ind w:left="0" w:right="0" w:firstLine="0"/>
            </w:pPr>
            <w:r>
              <w:t xml:space="preserve">38 meta-observations, </w:t>
            </w:r>
          </w:p>
          <w:p w14:paraId="6A26A2B6" w14:textId="77777777" w:rsidR="00577761" w:rsidRDefault="00577761" w:rsidP="00577761">
            <w:pPr>
              <w:spacing w:after="0" w:line="259" w:lineRule="auto"/>
              <w:ind w:left="0" w:right="0" w:firstLine="0"/>
            </w:pPr>
            <w:r>
              <w:t>8 studies</w:t>
            </w:r>
          </w:p>
        </w:tc>
        <w:tc>
          <w:tcPr>
            <w:tcW w:w="2609" w:type="dxa"/>
          </w:tcPr>
          <w:p w14:paraId="673D1A66" w14:textId="77777777" w:rsidR="00577761" w:rsidRDefault="00577761" w:rsidP="00577761">
            <w:pPr>
              <w:spacing w:after="0" w:line="259" w:lineRule="auto"/>
              <w:ind w:left="0" w:right="0" w:firstLine="0"/>
            </w:pPr>
            <w:r>
              <w:t>Generalised multi-level modelling</w:t>
            </w:r>
          </w:p>
        </w:tc>
        <w:tc>
          <w:tcPr>
            <w:tcW w:w="6264" w:type="dxa"/>
          </w:tcPr>
          <w:p w14:paraId="2E2AA5AE" w14:textId="7E72089F" w:rsidR="00577761" w:rsidRDefault="00577761" w:rsidP="00C84C9B">
            <w:pPr>
              <w:spacing w:after="0" w:line="259" w:lineRule="auto"/>
              <w:ind w:left="0" w:right="0" w:firstLine="0"/>
            </w:pPr>
            <w:r>
              <w:t>Methods, Results page 1</w:t>
            </w:r>
            <w:r w:rsidR="00C84C9B">
              <w:t>7-18</w:t>
            </w:r>
            <w:r>
              <w:t xml:space="preserve">, Figure </w:t>
            </w:r>
            <w:r w:rsidR="00C84C9B">
              <w:t>4</w:t>
            </w:r>
            <w:r>
              <w:t xml:space="preserve">, </w:t>
            </w:r>
            <w:r w:rsidR="00C84C9B">
              <w:t>Appendix 6</w:t>
            </w:r>
            <w:r w:rsidR="00F86EA6">
              <w:t xml:space="preserve">, Figure </w:t>
            </w:r>
            <w:r w:rsidR="00C84C9B">
              <w:t>4</w:t>
            </w:r>
            <w:r w:rsidR="00F86EA6">
              <w:t xml:space="preserve"> – Supplement 1</w:t>
            </w:r>
          </w:p>
        </w:tc>
      </w:tr>
      <w:tr w:rsidR="00577761" w14:paraId="14985DF8" w14:textId="77777777" w:rsidTr="00E27198">
        <w:tc>
          <w:tcPr>
            <w:tcW w:w="3681" w:type="dxa"/>
          </w:tcPr>
          <w:p w14:paraId="12A82D30" w14:textId="77777777" w:rsidR="00577761" w:rsidRPr="00577761" w:rsidRDefault="00577761" w:rsidP="00577761">
            <w:pPr>
              <w:spacing w:after="0" w:line="259" w:lineRule="auto"/>
              <w:ind w:left="0" w:right="0" w:firstLine="0"/>
            </w:pPr>
            <w:r>
              <w:t xml:space="preserve">Association between gSG6 IgG seropositivity and </w:t>
            </w:r>
            <w:r>
              <w:rPr>
                <w:i/>
              </w:rPr>
              <w:t xml:space="preserve">Plasmodium </w:t>
            </w:r>
            <w:r>
              <w:t>spp. prevalence</w:t>
            </w:r>
          </w:p>
        </w:tc>
        <w:tc>
          <w:tcPr>
            <w:tcW w:w="2609" w:type="dxa"/>
          </w:tcPr>
          <w:p w14:paraId="58DA397E" w14:textId="77777777" w:rsidR="00577761" w:rsidRDefault="00577761" w:rsidP="00577761">
            <w:pPr>
              <w:spacing w:after="0" w:line="259" w:lineRule="auto"/>
              <w:ind w:left="0" w:right="0" w:firstLine="0"/>
            </w:pPr>
            <w:r>
              <w:t xml:space="preserve">212 meta-observations, </w:t>
            </w:r>
          </w:p>
          <w:p w14:paraId="46DC734F" w14:textId="77777777" w:rsidR="00577761" w:rsidRDefault="00577761" w:rsidP="00577761">
            <w:pPr>
              <w:spacing w:after="0" w:line="259" w:lineRule="auto"/>
              <w:ind w:left="0" w:right="0" w:firstLine="0"/>
            </w:pPr>
            <w:r>
              <w:t>14 studies</w:t>
            </w:r>
          </w:p>
        </w:tc>
        <w:tc>
          <w:tcPr>
            <w:tcW w:w="2609" w:type="dxa"/>
          </w:tcPr>
          <w:p w14:paraId="1240840E" w14:textId="77777777" w:rsidR="00577761" w:rsidRDefault="00577761" w:rsidP="00577761">
            <w:pPr>
              <w:spacing w:after="0" w:line="259" w:lineRule="auto"/>
              <w:ind w:left="0" w:right="0" w:firstLine="0"/>
            </w:pPr>
            <w:r>
              <w:t>Generalised multi-level modelling</w:t>
            </w:r>
          </w:p>
        </w:tc>
        <w:tc>
          <w:tcPr>
            <w:tcW w:w="6264" w:type="dxa"/>
          </w:tcPr>
          <w:p w14:paraId="5016C535" w14:textId="6A686FB5" w:rsidR="00577761" w:rsidRDefault="00C84C9B" w:rsidP="00C84C9B">
            <w:pPr>
              <w:spacing w:after="0" w:line="259" w:lineRule="auto"/>
              <w:ind w:left="0" w:right="0" w:firstLine="0"/>
            </w:pPr>
            <w:r>
              <w:t>Methods, Results page 19-20</w:t>
            </w:r>
            <w:r w:rsidR="00577761">
              <w:t xml:space="preserve">, Figure 5, </w:t>
            </w:r>
            <w:r>
              <w:t>Appendix 7</w:t>
            </w:r>
          </w:p>
        </w:tc>
      </w:tr>
      <w:tr w:rsidR="00577761" w14:paraId="145A3FC2" w14:textId="77777777" w:rsidTr="00E27198">
        <w:tc>
          <w:tcPr>
            <w:tcW w:w="3681" w:type="dxa"/>
          </w:tcPr>
          <w:p w14:paraId="3459B329" w14:textId="77777777" w:rsidR="00577761" w:rsidRPr="00577761" w:rsidRDefault="00577761" w:rsidP="00577761">
            <w:pPr>
              <w:spacing w:after="0" w:line="259" w:lineRule="auto"/>
              <w:ind w:left="0" w:right="0" w:firstLine="0"/>
            </w:pPr>
            <w:r>
              <w:t>Association between gSG6 IgG seropositivity and anti-malarial antibody seroprevalence</w:t>
            </w:r>
          </w:p>
        </w:tc>
        <w:tc>
          <w:tcPr>
            <w:tcW w:w="2609" w:type="dxa"/>
          </w:tcPr>
          <w:p w14:paraId="703AEAFB" w14:textId="77777777" w:rsidR="00577761" w:rsidRDefault="00CE4B82" w:rsidP="00577761">
            <w:pPr>
              <w:spacing w:after="0" w:line="259" w:lineRule="auto"/>
              <w:ind w:left="0" w:right="0" w:firstLine="0"/>
            </w:pPr>
            <w:r>
              <w:t>See Table S6 for number of meta-observations and studies</w:t>
            </w:r>
          </w:p>
        </w:tc>
        <w:tc>
          <w:tcPr>
            <w:tcW w:w="2609" w:type="dxa"/>
          </w:tcPr>
          <w:p w14:paraId="1F559D24" w14:textId="77777777" w:rsidR="00577761" w:rsidRDefault="00577761" w:rsidP="00577761">
            <w:pPr>
              <w:spacing w:after="0" w:line="259" w:lineRule="auto"/>
              <w:ind w:left="0" w:right="0" w:firstLine="0"/>
            </w:pPr>
            <w:r>
              <w:t>Generalised multi-level modelling</w:t>
            </w:r>
          </w:p>
        </w:tc>
        <w:tc>
          <w:tcPr>
            <w:tcW w:w="6264" w:type="dxa"/>
          </w:tcPr>
          <w:p w14:paraId="327A2E98" w14:textId="48DEC18B" w:rsidR="00577761" w:rsidRDefault="00577761" w:rsidP="00C84C9B">
            <w:pPr>
              <w:spacing w:after="0" w:line="259" w:lineRule="auto"/>
              <w:ind w:left="0" w:right="0" w:firstLine="0"/>
            </w:pPr>
            <w:r>
              <w:t xml:space="preserve">Methods, Results page </w:t>
            </w:r>
            <w:r w:rsidR="00C84C9B">
              <w:t>21</w:t>
            </w:r>
            <w:r w:rsidR="00F86EA6">
              <w:t xml:space="preserve">, </w:t>
            </w:r>
            <w:r w:rsidR="00C84C9B">
              <w:t>Appendix 8</w:t>
            </w:r>
          </w:p>
        </w:tc>
      </w:tr>
      <w:tr w:rsidR="00577761" w14:paraId="13E449FE" w14:textId="77777777" w:rsidTr="00E27198">
        <w:tc>
          <w:tcPr>
            <w:tcW w:w="3681" w:type="dxa"/>
          </w:tcPr>
          <w:p w14:paraId="654CB457" w14:textId="77777777" w:rsidR="00577761" w:rsidRDefault="00CE4B82" w:rsidP="00CE4B82">
            <w:pPr>
              <w:spacing w:after="0" w:line="259" w:lineRule="auto"/>
              <w:ind w:left="0" w:right="0" w:firstLine="0"/>
            </w:pPr>
            <w:r>
              <w:t>Association between gSG6 IgG seropositivity and malarial endemicity class</w:t>
            </w:r>
          </w:p>
        </w:tc>
        <w:tc>
          <w:tcPr>
            <w:tcW w:w="2609" w:type="dxa"/>
          </w:tcPr>
          <w:p w14:paraId="4AAF56A8" w14:textId="77777777" w:rsidR="00577761" w:rsidRDefault="00CE4B82" w:rsidP="00577761">
            <w:pPr>
              <w:spacing w:after="0" w:line="259" w:lineRule="auto"/>
              <w:ind w:left="0" w:right="0" w:firstLine="0"/>
            </w:pPr>
            <w:r>
              <w:t>297 meta-observations, 22 studies</w:t>
            </w:r>
          </w:p>
        </w:tc>
        <w:tc>
          <w:tcPr>
            <w:tcW w:w="2609" w:type="dxa"/>
          </w:tcPr>
          <w:p w14:paraId="439C37D5" w14:textId="77777777" w:rsidR="00577761" w:rsidRDefault="00CE4B82" w:rsidP="00577761">
            <w:pPr>
              <w:spacing w:after="0" w:line="259" w:lineRule="auto"/>
              <w:ind w:left="0" w:right="0" w:firstLine="0"/>
            </w:pPr>
            <w:r>
              <w:t>Generalised multi-level modelling</w:t>
            </w:r>
          </w:p>
        </w:tc>
        <w:tc>
          <w:tcPr>
            <w:tcW w:w="6264" w:type="dxa"/>
          </w:tcPr>
          <w:p w14:paraId="5B16C72F" w14:textId="37FE7879" w:rsidR="00577761" w:rsidRDefault="007F5364" w:rsidP="007F5364">
            <w:pPr>
              <w:spacing w:after="0" w:line="259" w:lineRule="auto"/>
              <w:ind w:left="0" w:right="0" w:firstLine="0"/>
            </w:pPr>
            <w:r>
              <w:t>Methods, Results page 21, Table 2</w:t>
            </w:r>
          </w:p>
        </w:tc>
      </w:tr>
      <w:tr w:rsidR="00CE4B82" w14:paraId="40DB1C27" w14:textId="77777777" w:rsidTr="00B82272">
        <w:tc>
          <w:tcPr>
            <w:tcW w:w="3681" w:type="dxa"/>
          </w:tcPr>
          <w:p w14:paraId="37F748AD" w14:textId="77777777" w:rsidR="00CE4B82" w:rsidRPr="00577761" w:rsidRDefault="00CE4B82" w:rsidP="00B82272">
            <w:pPr>
              <w:spacing w:after="0" w:line="259" w:lineRule="auto"/>
              <w:ind w:left="0" w:right="0" w:firstLine="0"/>
            </w:pPr>
            <w:r>
              <w:t>Predicted gSG6 IgG seroprevalence by country and study</w:t>
            </w:r>
          </w:p>
        </w:tc>
        <w:tc>
          <w:tcPr>
            <w:tcW w:w="2609" w:type="dxa"/>
          </w:tcPr>
          <w:p w14:paraId="24ABDF8E" w14:textId="77777777" w:rsidR="00CE4B82" w:rsidRDefault="00CE4B82" w:rsidP="00B82272">
            <w:pPr>
              <w:spacing w:after="0" w:line="259" w:lineRule="auto"/>
              <w:ind w:left="0" w:right="0" w:firstLine="0"/>
            </w:pPr>
            <w:r>
              <w:t>301 meta-observations, 22 studies</w:t>
            </w:r>
          </w:p>
        </w:tc>
        <w:tc>
          <w:tcPr>
            <w:tcW w:w="2609" w:type="dxa"/>
          </w:tcPr>
          <w:p w14:paraId="70AC01BB" w14:textId="77777777" w:rsidR="00CE4B82" w:rsidRDefault="00CE4B82" w:rsidP="00B82272">
            <w:pPr>
              <w:spacing w:after="0" w:line="259" w:lineRule="auto"/>
              <w:ind w:left="0" w:right="0" w:firstLine="0"/>
            </w:pPr>
            <w:r>
              <w:t>Generalised multi-level modelling</w:t>
            </w:r>
          </w:p>
        </w:tc>
        <w:tc>
          <w:tcPr>
            <w:tcW w:w="6264" w:type="dxa"/>
          </w:tcPr>
          <w:p w14:paraId="11CB5727" w14:textId="25F88023" w:rsidR="00CE4B82" w:rsidRDefault="00CE4B82" w:rsidP="007F5364">
            <w:pPr>
              <w:spacing w:after="0" w:line="259" w:lineRule="auto"/>
              <w:ind w:left="0" w:right="0" w:firstLine="0"/>
            </w:pPr>
            <w:r>
              <w:t xml:space="preserve">Methods, Results page </w:t>
            </w:r>
            <w:r w:rsidR="007F5364">
              <w:t>21</w:t>
            </w:r>
            <w:r>
              <w:t xml:space="preserve">, </w:t>
            </w:r>
            <w:r w:rsidR="007F5364">
              <w:t>Appendix 9</w:t>
            </w:r>
          </w:p>
        </w:tc>
      </w:tr>
      <w:tr w:rsidR="005F3D08" w14:paraId="50FFC8BC" w14:textId="77777777" w:rsidTr="00E27198">
        <w:tc>
          <w:tcPr>
            <w:tcW w:w="3681" w:type="dxa"/>
          </w:tcPr>
          <w:p w14:paraId="30D3EBB8" w14:textId="77777777" w:rsidR="005F3D08" w:rsidRDefault="005F3D08" w:rsidP="005F3D08">
            <w:pPr>
              <w:spacing w:after="0" w:line="259" w:lineRule="auto"/>
              <w:ind w:left="0" w:right="0" w:firstLine="0"/>
            </w:pPr>
            <w:r>
              <w:t>Association between fSG6 IgG seropositivity and HBR</w:t>
            </w:r>
          </w:p>
        </w:tc>
        <w:tc>
          <w:tcPr>
            <w:tcW w:w="2609" w:type="dxa"/>
          </w:tcPr>
          <w:p w14:paraId="4D06CCBB" w14:textId="77777777" w:rsidR="005F3D08" w:rsidRDefault="005F3D08" w:rsidP="005F3D08">
            <w:pPr>
              <w:spacing w:after="0" w:line="259" w:lineRule="auto"/>
              <w:ind w:left="0" w:right="0" w:firstLine="0"/>
            </w:pPr>
            <w:r>
              <w:t xml:space="preserve">6 meta-observations, </w:t>
            </w:r>
          </w:p>
          <w:p w14:paraId="18E90870" w14:textId="77777777" w:rsidR="005F3D08" w:rsidRDefault="005F3D08" w:rsidP="005F3D08">
            <w:pPr>
              <w:spacing w:after="0" w:line="259" w:lineRule="auto"/>
              <w:ind w:left="0" w:right="0" w:firstLine="0"/>
            </w:pPr>
            <w:r>
              <w:t>2 studies</w:t>
            </w:r>
          </w:p>
        </w:tc>
        <w:tc>
          <w:tcPr>
            <w:tcW w:w="2609" w:type="dxa"/>
          </w:tcPr>
          <w:p w14:paraId="3EF576BF" w14:textId="77777777" w:rsidR="005F3D08" w:rsidRDefault="005F3D08" w:rsidP="005F3D08">
            <w:pPr>
              <w:spacing w:after="0" w:line="259" w:lineRule="auto"/>
              <w:ind w:left="0" w:right="0" w:firstLine="0"/>
            </w:pPr>
            <w:r>
              <w:t>Generalised multi-level modelling</w:t>
            </w:r>
          </w:p>
        </w:tc>
        <w:tc>
          <w:tcPr>
            <w:tcW w:w="6264" w:type="dxa"/>
          </w:tcPr>
          <w:p w14:paraId="69D950DB" w14:textId="1815C2AC" w:rsidR="005F3D08" w:rsidRDefault="005F3D08" w:rsidP="007F5364">
            <w:pPr>
              <w:spacing w:after="0" w:line="259" w:lineRule="auto"/>
              <w:ind w:left="0" w:right="0" w:firstLine="0"/>
            </w:pPr>
            <w:r>
              <w:t xml:space="preserve">Methods, </w:t>
            </w:r>
            <w:r w:rsidR="007F5364">
              <w:t>Appendix 10</w:t>
            </w:r>
          </w:p>
        </w:tc>
      </w:tr>
      <w:tr w:rsidR="005F3D08" w14:paraId="327049AC" w14:textId="77777777" w:rsidTr="00E27198">
        <w:tc>
          <w:tcPr>
            <w:tcW w:w="3681" w:type="dxa"/>
          </w:tcPr>
          <w:p w14:paraId="7FC4B2B4" w14:textId="77777777" w:rsidR="005F3D08" w:rsidRDefault="005F3D08" w:rsidP="005F3D08">
            <w:pPr>
              <w:spacing w:after="0" w:line="259" w:lineRule="auto"/>
              <w:ind w:left="0" w:right="0" w:firstLine="0"/>
            </w:pPr>
            <w:r>
              <w:t>Association between gSG6-P2 IgG seropositivity and anti-malarial antibody seroprevalence</w:t>
            </w:r>
          </w:p>
        </w:tc>
        <w:tc>
          <w:tcPr>
            <w:tcW w:w="2609" w:type="dxa"/>
          </w:tcPr>
          <w:p w14:paraId="38089E80" w14:textId="77777777" w:rsidR="005F3D08" w:rsidRDefault="005F3D08" w:rsidP="005F3D08">
            <w:pPr>
              <w:spacing w:after="0" w:line="259" w:lineRule="auto"/>
              <w:ind w:left="0" w:right="0" w:firstLine="0"/>
            </w:pPr>
            <w:r>
              <w:t>115-116 meta-observations, 2 studies</w:t>
            </w:r>
          </w:p>
        </w:tc>
        <w:tc>
          <w:tcPr>
            <w:tcW w:w="2609" w:type="dxa"/>
          </w:tcPr>
          <w:p w14:paraId="3DB558C3" w14:textId="77777777" w:rsidR="005F3D08" w:rsidRDefault="005F3D08" w:rsidP="005F3D08">
            <w:pPr>
              <w:spacing w:after="0" w:line="259" w:lineRule="auto"/>
              <w:ind w:left="0" w:right="0" w:firstLine="0"/>
            </w:pPr>
            <w:r>
              <w:t>Generalised multi-level modelling</w:t>
            </w:r>
          </w:p>
        </w:tc>
        <w:tc>
          <w:tcPr>
            <w:tcW w:w="6264" w:type="dxa"/>
          </w:tcPr>
          <w:p w14:paraId="711AF685" w14:textId="38CD4BE7" w:rsidR="005F3D08" w:rsidRDefault="005F3D08" w:rsidP="00F86EA6">
            <w:pPr>
              <w:spacing w:after="0" w:line="259" w:lineRule="auto"/>
              <w:ind w:left="0" w:right="0" w:firstLine="0"/>
            </w:pPr>
            <w:r>
              <w:t xml:space="preserve">Methods, </w:t>
            </w:r>
            <w:r w:rsidR="007F5364">
              <w:t>Appendix 10</w:t>
            </w:r>
            <w:bookmarkStart w:id="0" w:name="_GoBack"/>
            <w:bookmarkEnd w:id="0"/>
          </w:p>
        </w:tc>
      </w:tr>
    </w:tbl>
    <w:p w14:paraId="18C720FB" w14:textId="77777777" w:rsidR="008E727B" w:rsidRDefault="008E727B">
      <w:pPr>
        <w:spacing w:after="0" w:line="259" w:lineRule="auto"/>
        <w:ind w:left="0" w:right="0" w:firstLine="0"/>
      </w:pPr>
    </w:p>
    <w:sectPr w:rsidR="008E727B" w:rsidSect="00E27198">
      <w:pgSz w:w="16840" w:h="11900" w:orient="landscape"/>
      <w:pgMar w:top="1440" w:right="612" w:bottom="1486" w:left="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15E4"/>
    <w:multiLevelType w:val="hybridMultilevel"/>
    <w:tmpl w:val="192891A8"/>
    <w:lvl w:ilvl="0" w:tplc="86062AF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4D28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2387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8C08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0A19C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1E3DF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E91E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44F8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CC9FF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D060A"/>
    <w:multiLevelType w:val="hybridMultilevel"/>
    <w:tmpl w:val="BCBE7888"/>
    <w:lvl w:ilvl="0" w:tplc="6480DE7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6E28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A0D9E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45C7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C17A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6615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ADF0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6A83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EC8F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05E28"/>
    <w:multiLevelType w:val="hybridMultilevel"/>
    <w:tmpl w:val="FBAA6282"/>
    <w:lvl w:ilvl="0" w:tplc="89D8B65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24E8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6C91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E833D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4F95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802E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8360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A284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6E667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4252E4"/>
    <w:multiLevelType w:val="hybridMultilevel"/>
    <w:tmpl w:val="7C309AB2"/>
    <w:lvl w:ilvl="0" w:tplc="200E0A7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A0E7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CB96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03DD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6202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E841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6D92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2E909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410C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7B"/>
    <w:rsid w:val="00255310"/>
    <w:rsid w:val="003F0081"/>
    <w:rsid w:val="004D45C6"/>
    <w:rsid w:val="00577761"/>
    <w:rsid w:val="005B18CC"/>
    <w:rsid w:val="005C4CE8"/>
    <w:rsid w:val="005F3D08"/>
    <w:rsid w:val="0060154B"/>
    <w:rsid w:val="00695B71"/>
    <w:rsid w:val="007F5364"/>
    <w:rsid w:val="008D6AC3"/>
    <w:rsid w:val="008E727B"/>
    <w:rsid w:val="00A704C9"/>
    <w:rsid w:val="00BA01A0"/>
    <w:rsid w:val="00C84C9B"/>
    <w:rsid w:val="00CE4B82"/>
    <w:rsid w:val="00D528DF"/>
    <w:rsid w:val="00E27198"/>
    <w:rsid w:val="00F13DE6"/>
    <w:rsid w:val="00F84430"/>
    <w:rsid w:val="00F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9ECD"/>
  <w15:docId w15:val="{33D5AE17-2063-42F5-91C4-F3C26DCE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right="84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2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1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54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54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4B"/>
    <w:rPr>
      <w:rFonts w:ascii="Segoe UI" w:eastAsia="Calibri" w:hAnsi="Segoe UI" w:cs="Segoe UI"/>
      <w:color w:val="00000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3F008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" TargetMode="External"/><Relationship Id="rId13" Type="http://schemas.openxmlformats.org/officeDocument/2006/relationships/hyperlink" Target="https://biosharing.org/" TargetMode="External"/><Relationship Id="rId18" Type="http://schemas.openxmlformats.org/officeDocument/2006/relationships/hyperlink" Target="http://www.plosbiology.org/article/info:doi/10.1371/journal.pbio.1000412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hyperlink" Target="http://www.equator-network.org/" TargetMode="External"/><Relationship Id="rId12" Type="http://schemas.openxmlformats.org/officeDocument/2006/relationships/hyperlink" Target="https://biosharing.org/" TargetMode="External"/><Relationship Id="rId17" Type="http://schemas.openxmlformats.org/officeDocument/2006/relationships/hyperlink" Target="http://www.plosbiology.org/article/info:doi/10.1371/journal.pbio.10004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osbiology.org/article/info:doi/10.1371/journal.pbio.1000412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equator-network.org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losbiology.org/article/info:doi/10.1371/journal.pbio.10004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quator-network.org/" TargetMode="External"/><Relationship Id="rId19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quator-network.org/" TargetMode="External"/><Relationship Id="rId14" Type="http://schemas.openxmlformats.org/officeDocument/2006/relationships/hyperlink" Target="https://biosharing.org/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91C3-C34F-4C50-AD56-4AA205E2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Gould</dc:creator>
  <cp:keywords/>
  <cp:lastModifiedBy>Ellen Kearney</cp:lastModifiedBy>
  <cp:revision>2</cp:revision>
  <dcterms:created xsi:type="dcterms:W3CDTF">2021-12-08T00:32:00Z</dcterms:created>
  <dcterms:modified xsi:type="dcterms:W3CDTF">2021-12-08T00:32:00Z</dcterms:modified>
</cp:coreProperties>
</file>