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68A86" w14:textId="7131AB57" w:rsidR="001C6D7B" w:rsidRPr="00B864CD" w:rsidRDefault="00597586" w:rsidP="001C6D7B">
      <w:pPr>
        <w:rPr>
          <w:bCs/>
          <w:color w:val="000000" w:themeColor="text1"/>
        </w:rPr>
      </w:pPr>
      <w:r w:rsidRPr="00B864CD">
        <w:rPr>
          <w:b/>
          <w:color w:val="000000" w:themeColor="text1"/>
        </w:rPr>
        <w:t>S</w:t>
      </w:r>
      <w:r w:rsidR="001C6D7B" w:rsidRPr="00B864CD">
        <w:rPr>
          <w:b/>
          <w:color w:val="000000" w:themeColor="text1"/>
        </w:rPr>
        <w:t>upplementa</w:t>
      </w:r>
      <w:r w:rsidR="00F6424A" w:rsidRPr="00B864CD">
        <w:rPr>
          <w:b/>
          <w:color w:val="000000" w:themeColor="text1"/>
        </w:rPr>
        <w:t>ry</w:t>
      </w:r>
      <w:r w:rsidR="001C6D7B" w:rsidRPr="00B864CD">
        <w:rPr>
          <w:b/>
          <w:color w:val="000000" w:themeColor="text1"/>
        </w:rPr>
        <w:t xml:space="preserve"> </w:t>
      </w:r>
      <w:r w:rsidR="008C6FBB">
        <w:rPr>
          <w:b/>
          <w:color w:val="000000" w:themeColor="text1"/>
        </w:rPr>
        <w:t>File 1A</w:t>
      </w:r>
      <w:r w:rsidR="001C6D7B" w:rsidRPr="00B864CD">
        <w:rPr>
          <w:b/>
          <w:color w:val="000000" w:themeColor="text1"/>
        </w:rPr>
        <w:t>. Measurements included in modeling Pace of Aging in the Dunedin Study Birth Cohort</w:t>
      </w:r>
      <w:r w:rsidR="001C6D7B" w:rsidRPr="00B864CD">
        <w:rPr>
          <w:color w:val="000000" w:themeColor="text1"/>
        </w:rPr>
        <w:t>. We measured Pace of Aging from repeated assessments of a panel of 19 biomarkers: Body mass index (BMI), Waist-hip ratio, Glycated hemoglobin, Leptin, Blood pressure (mean arterial pressure), Cardiorespiratory fitness (VO</w:t>
      </w:r>
      <w:r w:rsidR="001C6D7B" w:rsidRPr="00B864CD">
        <w:rPr>
          <w:color w:val="000000" w:themeColor="text1"/>
          <w:vertAlign w:val="subscript"/>
        </w:rPr>
        <w:t>2</w:t>
      </w:r>
      <w:r w:rsidR="001C6D7B" w:rsidRPr="00B864CD">
        <w:rPr>
          <w:color w:val="000000" w:themeColor="text1"/>
        </w:rPr>
        <w:t>Max), Forced vital capacity ratio (FEV</w:t>
      </w:r>
      <w:r w:rsidR="001C6D7B" w:rsidRPr="00B864CD">
        <w:rPr>
          <w:color w:val="000000" w:themeColor="text1"/>
          <w:vertAlign w:val="subscript"/>
        </w:rPr>
        <w:t>1</w:t>
      </w:r>
      <w:r w:rsidR="001C6D7B" w:rsidRPr="00B864CD">
        <w:rPr>
          <w:color w:val="000000" w:themeColor="text1"/>
        </w:rPr>
        <w:t>/FVC), Forced expiratory volume in one second (FEV</w:t>
      </w:r>
      <w:r w:rsidR="001C6D7B" w:rsidRPr="00B864CD">
        <w:rPr>
          <w:color w:val="000000" w:themeColor="text1"/>
          <w:vertAlign w:val="subscript"/>
        </w:rPr>
        <w:t>1</w:t>
      </w:r>
      <w:r w:rsidR="001C6D7B" w:rsidRPr="00B864CD">
        <w:rPr>
          <w:color w:val="000000" w:themeColor="text1"/>
        </w:rPr>
        <w:t xml:space="preserve">), Total cholesterol, Triglycerides, High density lipoprotein (HDL), Lipoprotein(a), Apolipoprotein B100/A1 ratio, estimated Glomerular Filtration Rate (eGFR), Blood Urea Nitrogen (BUN), High Sensitivity C-reactive Protein (hs-CRP), White blood cell count, mean periodontal attachment loss (AL), and the number of dental-caries-affected tooth surfaces (tooth decay). This list includes two new biomarkers, leptin and caries, not included in the original Pace of Aging </w:t>
      </w:r>
      <w:r w:rsidR="001C6D7B" w:rsidRPr="00B864CD">
        <w:rPr>
          <w:color w:val="000000" w:themeColor="text1"/>
        </w:rPr>
        <w:fldChar w:fldCharType="begin"/>
      </w:r>
      <w:r w:rsidR="00C442F4" w:rsidRPr="00B864CD">
        <w:rPr>
          <w:color w:val="000000" w:themeColor="text1"/>
        </w:rPr>
        <w:instrText xml:space="preserve"> ADDIN ZOTERO_ITEM CSL_CITATION {"citationID":"uL6WLtLI","properties":{"formattedCitation":"(Belsky et al., 2015)","plainCitation":"(Belsky et al., 2015)","noteIndex":0},"citationItems":[{"id":271,"uris":["http://zotero.org/users/1593913/items/K7V9I8VA"],"uri":["http://zotero.org/users/1593913/items/K7V9I8VA"],"itemData":{"id":271,"type":"article-journal","abstract":"Antiaging therapies show promise in model organism research. Translation to humans is needed to address the challenges of an aging global population. Interventions to slow human aging will need to be applied to still-young individuals. However, most human aging research examines older adults, many with chronic disease. As a result, little is known about aging in young humans. We studied aging in 954 young humans, the Dunedin Study birth cohort, tracking multiple biomarkers across three time points spanning their third and fourth decades of life. We developed and validated two methods by which aging can be measured in young adults, one cross-sectional and one longitudinal. Our longitudinal measure allows quantification of the pace of coordinated physiological deterioration across multiple organ systems (e.g., pulmonary, periodontal, cardiovascular, renal, hepatic, and immune function). We applied these methods to assess biological aging in young humans who had not yet developed age-related diseases. Young individuals of the same chronological age varied in their \"biological aging\" (declining integrity of multiple organ systems). Already, before midlife, individuals who were aging more rapidly were less physically able, showed cognitive decline and brain aging, self-reported worse health, and looked older. Measured biological aging in young adults can be used to identify causes of aging and evaluate rejuvenation therapies.","container-title":"Proceedings of the National Academy of Sciences of the United States of America","DOI":"10.1073/pnas.1506264112","ISSN":"1091-6490","issue":"30","journalAbbreviation":"Proc. Natl. Acad. Sci. U.S.A.","language":"eng","note":"PMID: 26150497\nPMCID: PMC4522793","page":"E4104-4110","source":"PubMed","title":"Quantification of biological aging in young adults","volume":"112","author":[{"family":"Belsky","given":"Daniel W."},{"family":"Caspi","given":"Avshalom"},{"family":"Houts","given":"Renate"},{"family":"Cohen","given":"Harvey J."},{"family":"Corcoran","given":"David L."},{"family":"Danese","given":"Andrea"},{"family":"Harrington","given":"HonaLee"},{"family":"Israel","given":"Salomon"},{"family":"Levine","given":"Morgan E."},{"family":"Schaefer","given":"Jonathan D."},{"family":"Sugden","given":"Karen"},{"family":"Williams","given":"Ben"},{"family":"Yashin","given":"Anatoli I."},{"family":"Poulton","given":"Richie"},{"family":"Moffitt","given":"Terrie E."}],"issued":{"date-parts":[["2015",7,28]]}}}],"schema":"https://github.com/citation-style-language/schema/raw/master/csl-citation.json"} </w:instrText>
      </w:r>
      <w:r w:rsidR="001C6D7B" w:rsidRPr="00B864CD">
        <w:rPr>
          <w:color w:val="000000" w:themeColor="text1"/>
        </w:rPr>
        <w:fldChar w:fldCharType="separate"/>
      </w:r>
      <w:r w:rsidR="001C6D7B" w:rsidRPr="00B864CD">
        <w:rPr>
          <w:noProof/>
          <w:color w:val="000000" w:themeColor="text1"/>
        </w:rPr>
        <w:t>(Belsky et al., 2015)</w:t>
      </w:r>
      <w:r w:rsidR="001C6D7B" w:rsidRPr="00B864CD">
        <w:rPr>
          <w:color w:val="000000" w:themeColor="text1"/>
        </w:rPr>
        <w:fldChar w:fldCharType="end"/>
      </w:r>
      <w:r w:rsidR="001C6D7B" w:rsidRPr="00B864CD">
        <w:rPr>
          <w:color w:val="000000" w:themeColor="text1"/>
        </w:rPr>
        <w:t xml:space="preserve">, both of which have now been assessed at multiple waves, allowing growth curve modeling. Telomere length was dropped because of an emerging and yet-unresolved field-wide debate about its measurement </w:t>
      </w:r>
      <w:r w:rsidR="001C6D7B" w:rsidRPr="00B864CD">
        <w:rPr>
          <w:color w:val="000000" w:themeColor="text1"/>
        </w:rPr>
        <w:fldChar w:fldCharType="begin"/>
      </w:r>
      <w:r w:rsidR="00C442F4" w:rsidRPr="00B864CD">
        <w:rPr>
          <w:color w:val="000000" w:themeColor="text1"/>
        </w:rPr>
        <w:instrText xml:space="preserve"> ADDIN ZOTERO_ITEM CSL_CITATION {"citationID":"d81Anzd4","properties":{"formattedCitation":"(Nettle et al., 2021)","plainCitation":"(Nettle et al., 2021)","noteIndex":0},"citationItems":[{"id":19137,"uris":["http://zotero.org/users/1593913/items/H3JCYVFL"],"uri":["http://zotero.org/users/1593913/items/H3JCYVFL"],"itemData":{"id":19137,"type":"article-journal","abstract":"Researchers increasingly wish to test hypotheses concerning the impact of environmental or disease exposures on telomere length (TL), and use longitudinal study designs to do so. In population studies, TL is usually measured using a quantitative polymerase chain reaction (qPCR)-based method. This method has been validated by presenting a correlation with a gold standard method such as Southern blotting (SB) in cross-sectional datasets. However, in a cross-section, the range of true variation in TL is large, and measurement error is introduced only once. In a longitudinal study, the target variation of interest is small, and measurement error is introduced both at baseline and follow-up. We present a small dataset (n = 20) where leukocyte TL was measured 6.6 years apart by both qPCR and SB. The cross-sectional correlations between qPCR and SB were high both at baseline (r = 0.90) and follow-up (r = 0.85), yet their correlation for TL change was poor (r = 0.48). Moreover, the qPCR but not SB data showed strong signatures of measurement error. Through simulation, we show that the statistical power gain from performing a longitudinal analysis is much greater for SB than qPCR. We discuss implications for optimal study design and analysis.","container-title":"American Journal of Epidemiology","DOI":"10.1093/aje/kwab025","ISSN":"1476-6256","journalAbbreviation":"Am J Epidemiol","language":"eng","note":"PMID: 33564874","source":"PubMed","title":"Telomere length measurement for longitudinal analysis: implications of assay precision","title-short":"Telomere length measurement for longitudinal analysis","author":[{"family":"Nettle","given":"Daniel"},{"family":"Gadalla","given":"Shahinaz M."},{"family":"Lai","given":"Tsung-Po"},{"family":"Susser","given":"Ezra"},{"family":"Bateson","given":"Melissa"},{"family":"Aviv","given":"Abraham"}],"issued":{"date-parts":[["2021",2,10]]}}}],"schema":"https://github.com/citation-style-language/schema/raw/master/csl-citation.json"} </w:instrText>
      </w:r>
      <w:r w:rsidR="001C6D7B" w:rsidRPr="00B864CD">
        <w:rPr>
          <w:color w:val="000000" w:themeColor="text1"/>
        </w:rPr>
        <w:fldChar w:fldCharType="separate"/>
      </w:r>
      <w:r w:rsidR="001C6D7B" w:rsidRPr="00B864CD">
        <w:rPr>
          <w:noProof/>
          <w:color w:val="000000" w:themeColor="text1"/>
        </w:rPr>
        <w:t>(Nettle et al., 2021)</w:t>
      </w:r>
      <w:r w:rsidR="001C6D7B" w:rsidRPr="00B864CD">
        <w:rPr>
          <w:color w:val="000000" w:themeColor="text1"/>
        </w:rPr>
        <w:fldChar w:fldCharType="end"/>
      </w:r>
      <w:r w:rsidR="001C6D7B" w:rsidRPr="00B864CD">
        <w:rPr>
          <w:color w:val="000000" w:themeColor="text1"/>
        </w:rPr>
        <w:fldChar w:fldCharType="begin" w:fldLock="1"/>
      </w:r>
      <w:r w:rsidR="00C442F4" w:rsidRPr="00B864CD">
        <w:rPr>
          <w:color w:val="000000" w:themeColor="text1"/>
        </w:rPr>
        <w:instrText xml:space="preserve"> ADDIN ZOTERO_ITEM CSL_CITATION {"citationID":"tvrseTgv","properties":{"formattedCitation":"(Thomas, 2017)","plainCitation":"","noteIndex":0},"citationItems":[{"id":"j6rCr4Ma/bhc79Eu4","uris":["http://www.mendeley.com/documents/?uuid=a172d895-9c5f-49f1-9c59-30bd084f64ab"],"uri":["http://www.mendeley.com/documents/?uuid=a172d895-9c5f-49f1-9c59-30bd084f64ab"],"itemData":{"abstract":"A Workshop Co-sponsored by the National Institute of Environmental Health Sciences (NIEHS) and the National Institute on Aging (NIA)","author":[{"dropping-particle":"","family":"Thomas","given":"Samuel","non-dropping-particle":"","parse-names":false,"suffix":""}],"container-title":"NIEHS-NIA Workshop on Telomeres","id":"ITEM-1","issued":{"date-parts":[["2017"]]},"title":"Telomeres as Sentinels for Environmental Exposures, Psychosocial Stress, and Disease Susceptibility: Workshop Summary","type":"article-journal"}}],"schema":"https://github.com/citation-style-language/schema/raw/master/csl-citation.json"} </w:instrText>
      </w:r>
      <w:r w:rsidR="001C6D7B" w:rsidRPr="00B864CD">
        <w:rPr>
          <w:color w:val="000000" w:themeColor="text1"/>
        </w:rPr>
        <w:fldChar w:fldCharType="end"/>
      </w:r>
      <w:r w:rsidR="001C6D7B" w:rsidRPr="00B864CD">
        <w:rPr>
          <w:color w:val="000000" w:themeColor="text1"/>
        </w:rPr>
        <w:t>.</w:t>
      </w:r>
      <w:r w:rsidR="001C6D7B" w:rsidRPr="00B864CD">
        <w:rPr>
          <w:rFonts w:eastAsia="ScalaLancetPro"/>
          <w:color w:val="000000" w:themeColor="text1"/>
        </w:rPr>
        <w:t xml:space="preserve"> All other biomarkers were the same. The 20-year  Pace of Aging measure is described in detail elsewhere </w:t>
      </w:r>
      <w:r w:rsidR="001C6D7B" w:rsidRPr="00B864CD">
        <w:rPr>
          <w:rFonts w:eastAsia="ScalaLancetPro"/>
          <w:color w:val="000000" w:themeColor="text1"/>
        </w:rPr>
        <w:fldChar w:fldCharType="begin"/>
      </w:r>
      <w:r w:rsidR="00C442F4" w:rsidRPr="00B864CD">
        <w:rPr>
          <w:rFonts w:eastAsia="ScalaLancetPro"/>
          <w:color w:val="000000" w:themeColor="text1"/>
        </w:rPr>
        <w:instrText xml:space="preserve"> ADDIN ZOTERO_ITEM CSL_CITATION {"citationID":"97iGGXDB","properties":{"formattedCitation":"(Elliott et al., 2021)","plainCitation":"(Elliott et al., 2021)","noteIndex":0},"citationItems":[{"id":19140,"uris":["http://zotero.org/users/1593913/items/J7BE5SAE"],"uri":["http://zotero.org/users/1593913/items/J7BE5SAE"],"itemData":{"id":19140,"type":"article-journal","abstract":"A cohort study tracking 20-year age-related declines in multiple organ systems finds that, already by midlife, those aging fastest showed cognitive declines, signs of brain aging, diminished sensory–motor function and negative views about aging.","container-title":"Nature Aging","DOI":"10.1038/s43587-021-00044-4","ISSN":"2662-8465","issue":"3","journalAbbreviation":"Nat Aging","language":"en","note":"number: 3\npublisher: Nature Publishing Group","page":"295-308","source":"www-nature-com-s.caas.cn","title":"Disparities in the pace of biological aging among midlife adults of the same chronological age have implications for future frailty risk and policy","URL":"https://www.nature.com/articles/s43587-021-00044-4","volume":"1","author":[{"family":"Elliott","given":"Maxwell L."},{"family":"Caspi","given":"Avshalom"},{"family":"Houts","given":"Renate M."},{"family":"Ambler","given":"Antony"},{"family":"Broadbent","given":"Jonathan M."},{"family":"Hancox","given":"Robert J."},{"family":"Harrington","given":"HonaLee"},{"family":"Hogan","given":"Sean"},{"family":"Keenan","given":"Ross"},{"family":"Knodt","given":"Annchen"},{"family":"Leung","given":"Joan H."},{"family":"Melzer","given":"Tracy R."},{"family":"Purdy","given":"Suzanne C."},{"family":"Ramrakha","given":"Sandhya"},{"family":"Richmond-Rakerd","given":"Leah S."},{"family":"Righarts","given":"Antoinette"},{"family":"Sugden","given":"Karen"},{"family":"Thomson","given":"W. Murray"},{"family":"Thorne","given":"Peter R."},{"family":"Williams","given":"Benjamin S."},{"family":"Wilson","given":"Graham"},{"family":"Hariri","given":"Ahmad R."},{"family":"Poulton","given":"Richie"},{"family":"Moffitt","given":"Terrie E."}],"accessed":{"date-parts":[["2021",5,29]]},"issued":{"date-parts":[["2021",3]]}}}],"schema":"https://github.com/citation-style-language/schema/raw/master/csl-citation.json"} </w:instrText>
      </w:r>
      <w:r w:rsidR="001C6D7B" w:rsidRPr="00B864CD">
        <w:rPr>
          <w:rFonts w:eastAsia="ScalaLancetPro"/>
          <w:color w:val="000000" w:themeColor="text1"/>
        </w:rPr>
        <w:fldChar w:fldCharType="separate"/>
      </w:r>
      <w:r w:rsidR="001C6D7B" w:rsidRPr="00B864CD">
        <w:rPr>
          <w:rFonts w:eastAsia="ScalaLancetPro"/>
          <w:noProof/>
          <w:color w:val="000000" w:themeColor="text1"/>
        </w:rPr>
        <w:t>(Elliott et al., 2021)</w:t>
      </w:r>
      <w:r w:rsidR="001C6D7B" w:rsidRPr="00B864CD">
        <w:rPr>
          <w:rFonts w:eastAsia="ScalaLancetPro"/>
          <w:color w:val="000000" w:themeColor="text1"/>
        </w:rPr>
        <w:fldChar w:fldCharType="end"/>
      </w:r>
      <w:r w:rsidR="001C6D7B" w:rsidRPr="00B864CD">
        <w:rPr>
          <w:rFonts w:eastAsia="ScalaLancetPro"/>
          <w:color w:val="000000" w:themeColor="text1"/>
        </w:rPr>
        <w:t xml:space="preserve">. </w:t>
      </w:r>
    </w:p>
    <w:p w14:paraId="2A1EC44C" w14:textId="77777777" w:rsidR="001C6D7B" w:rsidRPr="00B864CD" w:rsidRDefault="001C6D7B" w:rsidP="001C6D7B">
      <w:pPr>
        <w:rPr>
          <w:b/>
          <w:bCs/>
          <w:color w:val="000000" w:themeColor="text1"/>
        </w:rPr>
      </w:pPr>
    </w:p>
    <w:p w14:paraId="6F4CFAF5" w14:textId="77777777" w:rsidR="00AE2967" w:rsidRPr="00B864CD" w:rsidRDefault="00AE2967" w:rsidP="00AE2967">
      <w:pPr>
        <w:rPr>
          <w:rFonts w:cstheme="minorHAnsi"/>
          <w:b/>
          <w:color w:val="000000" w:themeColor="text1"/>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340"/>
        <w:gridCol w:w="7010"/>
      </w:tblGrid>
      <w:tr w:rsidR="004A56FC" w:rsidRPr="00B864CD" w14:paraId="2F81B536" w14:textId="77777777" w:rsidTr="003C73AA">
        <w:tc>
          <w:tcPr>
            <w:tcW w:w="2340" w:type="dxa"/>
            <w:tcBorders>
              <w:top w:val="single" w:sz="4" w:space="0" w:color="auto"/>
              <w:bottom w:val="single" w:sz="4" w:space="0" w:color="auto"/>
            </w:tcBorders>
            <w:hideMark/>
          </w:tcPr>
          <w:p w14:paraId="7744690F" w14:textId="77777777" w:rsidR="00AE2967" w:rsidRPr="00B864CD" w:rsidRDefault="00AE2967" w:rsidP="007442C3">
            <w:pPr>
              <w:rPr>
                <w:rFonts w:cstheme="minorHAnsi"/>
                <w:b/>
                <w:color w:val="000000" w:themeColor="text1"/>
              </w:rPr>
            </w:pPr>
            <w:r w:rsidRPr="00B864CD">
              <w:rPr>
                <w:rFonts w:cstheme="minorHAnsi"/>
                <w:b/>
                <w:i/>
                <w:color w:val="000000" w:themeColor="text1"/>
              </w:rPr>
              <w:t>Body mass index</w:t>
            </w:r>
          </w:p>
        </w:tc>
        <w:tc>
          <w:tcPr>
            <w:tcW w:w="7010" w:type="dxa"/>
            <w:tcBorders>
              <w:top w:val="single" w:sz="4" w:space="0" w:color="auto"/>
              <w:bottom w:val="single" w:sz="4" w:space="0" w:color="auto"/>
            </w:tcBorders>
          </w:tcPr>
          <w:p w14:paraId="167F5F8F" w14:textId="3EB47755" w:rsidR="00AE2967" w:rsidRPr="00B864CD" w:rsidRDefault="00AE2967" w:rsidP="00AE03C3">
            <w:pPr>
              <w:rPr>
                <w:rFonts w:cstheme="minorHAnsi"/>
                <w:color w:val="000000" w:themeColor="text1"/>
              </w:rPr>
            </w:pPr>
            <w:r w:rsidRPr="00B864CD">
              <w:rPr>
                <w:rFonts w:cstheme="minorHAnsi"/>
                <w:color w:val="000000" w:themeColor="text1"/>
              </w:rPr>
              <w:t xml:space="preserve">Height was measured to the nearest millimeter using </w:t>
            </w:r>
            <w:r w:rsidR="00AE03C3" w:rsidRPr="00B864CD">
              <w:rPr>
                <w:rFonts w:cstheme="minorHAnsi"/>
                <w:color w:val="000000" w:themeColor="text1"/>
              </w:rPr>
              <w:t xml:space="preserve">a </w:t>
            </w:r>
            <w:r w:rsidR="00AE03C3" w:rsidRPr="00B864CD">
              <w:rPr>
                <w:color w:val="000000" w:themeColor="text1"/>
              </w:rPr>
              <w:t xml:space="preserve">Seca 264 Wireless Stadiometer. </w:t>
            </w:r>
            <w:r w:rsidRPr="00B864CD">
              <w:rPr>
                <w:rFonts w:cstheme="minorHAnsi"/>
                <w:color w:val="000000" w:themeColor="text1"/>
              </w:rPr>
              <w:t>Weight was measured to the nearest 0.1 kg using calibrated scales. Individuals were weighed in light clothing. Body mass index (BMI) was calculated</w:t>
            </w:r>
            <w:r w:rsidR="00886BA2" w:rsidRPr="00B864CD">
              <w:rPr>
                <w:rFonts w:cstheme="minorHAnsi"/>
                <w:color w:val="000000" w:themeColor="text1"/>
              </w:rPr>
              <w:t xml:space="preserve"> using the standard formula weight in kilograms divided by height in meters squared</w:t>
            </w:r>
            <w:r w:rsidRPr="00B864CD">
              <w:rPr>
                <w:rFonts w:cstheme="minorHAnsi"/>
                <w:color w:val="000000" w:themeColor="text1"/>
              </w:rPr>
              <w:t>.</w:t>
            </w:r>
          </w:p>
        </w:tc>
      </w:tr>
      <w:tr w:rsidR="004A56FC" w:rsidRPr="00B864CD" w14:paraId="10C7C727" w14:textId="77777777" w:rsidTr="003C73AA">
        <w:tc>
          <w:tcPr>
            <w:tcW w:w="2340" w:type="dxa"/>
            <w:tcBorders>
              <w:top w:val="single" w:sz="4" w:space="0" w:color="auto"/>
              <w:bottom w:val="single" w:sz="4" w:space="0" w:color="auto"/>
            </w:tcBorders>
            <w:hideMark/>
          </w:tcPr>
          <w:p w14:paraId="1E119E4E" w14:textId="77777777" w:rsidR="00AE2967" w:rsidRPr="00B864CD" w:rsidRDefault="00AE2967" w:rsidP="007442C3">
            <w:pPr>
              <w:rPr>
                <w:rFonts w:cstheme="minorHAnsi"/>
                <w:b/>
                <w:color w:val="000000" w:themeColor="text1"/>
              </w:rPr>
            </w:pPr>
            <w:r w:rsidRPr="00B864CD">
              <w:rPr>
                <w:rFonts w:cstheme="minorHAnsi"/>
                <w:b/>
                <w:i/>
                <w:color w:val="000000" w:themeColor="text1"/>
              </w:rPr>
              <w:t>Waist-hip ratio</w:t>
            </w:r>
          </w:p>
        </w:tc>
        <w:tc>
          <w:tcPr>
            <w:tcW w:w="7010" w:type="dxa"/>
            <w:tcBorders>
              <w:top w:val="single" w:sz="4" w:space="0" w:color="auto"/>
              <w:bottom w:val="single" w:sz="4" w:space="0" w:color="auto"/>
            </w:tcBorders>
          </w:tcPr>
          <w:p w14:paraId="24F2C6F7" w14:textId="77777777" w:rsidR="00AE2967" w:rsidRPr="00B864CD" w:rsidRDefault="00AE2967" w:rsidP="007442C3">
            <w:pPr>
              <w:rPr>
                <w:rFonts w:cstheme="minorHAnsi"/>
                <w:color w:val="000000" w:themeColor="text1"/>
              </w:rPr>
            </w:pPr>
            <w:r w:rsidRPr="00B864CD">
              <w:rPr>
                <w:rFonts w:cstheme="minorHAnsi"/>
                <w:color w:val="000000" w:themeColor="text1"/>
              </w:rPr>
              <w:t xml:space="preserve">Waist girth was the perimeter at the level of the noticeable waist narrowing located between the costal border and the iliac crest. Hip girth was taken as the perimeter at the level of the greatest protuberance and at about the symphysion </w:t>
            </w:r>
            <w:proofErr w:type="gramStart"/>
            <w:r w:rsidRPr="00B864CD">
              <w:rPr>
                <w:rFonts w:cstheme="minorHAnsi"/>
                <w:color w:val="000000" w:themeColor="text1"/>
              </w:rPr>
              <w:t>pubic</w:t>
            </w:r>
            <w:proofErr w:type="gramEnd"/>
            <w:r w:rsidRPr="00B864CD">
              <w:rPr>
                <w:rFonts w:cstheme="minorHAnsi"/>
                <w:color w:val="000000" w:themeColor="text1"/>
              </w:rPr>
              <w:t xml:space="preserve"> level anteriorly. Measurements were repeated and the average used to calculate waist-hip ratio. </w:t>
            </w:r>
          </w:p>
        </w:tc>
      </w:tr>
      <w:tr w:rsidR="004A56FC" w:rsidRPr="00B864CD" w14:paraId="1FDDC97E" w14:textId="77777777" w:rsidTr="003C73AA">
        <w:tc>
          <w:tcPr>
            <w:tcW w:w="2340" w:type="dxa"/>
            <w:tcBorders>
              <w:top w:val="single" w:sz="4" w:space="0" w:color="auto"/>
              <w:bottom w:val="single" w:sz="4" w:space="0" w:color="auto"/>
            </w:tcBorders>
            <w:hideMark/>
          </w:tcPr>
          <w:p w14:paraId="5B2FD957" w14:textId="77777777" w:rsidR="00AE2967" w:rsidRPr="00B864CD" w:rsidRDefault="00AE2967" w:rsidP="007442C3">
            <w:pPr>
              <w:rPr>
                <w:rFonts w:cstheme="minorHAnsi"/>
                <w:b/>
                <w:i/>
                <w:color w:val="000000" w:themeColor="text1"/>
              </w:rPr>
            </w:pPr>
            <w:r w:rsidRPr="00B864CD">
              <w:rPr>
                <w:rFonts w:cstheme="minorHAnsi"/>
                <w:b/>
                <w:i/>
                <w:color w:val="000000" w:themeColor="text1"/>
              </w:rPr>
              <w:t>Glycated hemoglobin (HbA1C)</w:t>
            </w:r>
          </w:p>
        </w:tc>
        <w:tc>
          <w:tcPr>
            <w:tcW w:w="7010" w:type="dxa"/>
            <w:tcBorders>
              <w:top w:val="single" w:sz="4" w:space="0" w:color="auto"/>
              <w:bottom w:val="single" w:sz="4" w:space="0" w:color="auto"/>
            </w:tcBorders>
          </w:tcPr>
          <w:p w14:paraId="55BDCCB0" w14:textId="2C52D3D1" w:rsidR="00AE2967" w:rsidRPr="00B864CD" w:rsidRDefault="00AE2967" w:rsidP="007442C3">
            <w:pPr>
              <w:rPr>
                <w:rFonts w:cstheme="minorHAnsi"/>
                <w:color w:val="000000" w:themeColor="text1"/>
              </w:rPr>
            </w:pPr>
            <w:r w:rsidRPr="00B864CD">
              <w:rPr>
                <w:rFonts w:cstheme="minorHAnsi"/>
                <w:color w:val="000000" w:themeColor="text1"/>
              </w:rPr>
              <w:t>Whole blood glycated hemoglobin concentration (expressed as a percentage of total hemoglobin) was measured by ion exchange high performance liquid chromatography (BioRad</w:t>
            </w:r>
            <w:r w:rsidR="00AE03C3" w:rsidRPr="00B864CD">
              <w:rPr>
                <w:rFonts w:cstheme="minorHAnsi"/>
                <w:color w:val="000000" w:themeColor="text1"/>
              </w:rPr>
              <w:t xml:space="preserve"> D-100</w:t>
            </w:r>
            <w:r w:rsidRPr="00B864CD">
              <w:rPr>
                <w:rFonts w:cstheme="minorHAnsi"/>
                <w:color w:val="000000" w:themeColor="text1"/>
              </w:rPr>
              <w:t>, Hercules, Calif.), a method certified by the US National Glycohemoglobin Standardization Program (</w:t>
            </w:r>
            <w:hyperlink r:id="rId7" w:history="1">
              <w:r w:rsidRPr="00B864CD">
                <w:rPr>
                  <w:rStyle w:val="Hyperlink"/>
                  <w:rFonts w:cstheme="minorHAnsi"/>
                  <w:color w:val="000000" w:themeColor="text1"/>
                </w:rPr>
                <w:t>http://www.ngsp.org/</w:t>
              </w:r>
            </w:hyperlink>
            <w:r w:rsidRPr="00B864CD">
              <w:rPr>
                <w:rFonts w:cstheme="minorHAnsi"/>
                <w:color w:val="000000" w:themeColor="text1"/>
              </w:rPr>
              <w:t>).</w:t>
            </w:r>
          </w:p>
          <w:p w14:paraId="55B1C4F5" w14:textId="09AA88D6" w:rsidR="00AE03C3" w:rsidRPr="00B864CD" w:rsidRDefault="00AE03C3" w:rsidP="007442C3">
            <w:pPr>
              <w:rPr>
                <w:rFonts w:cstheme="minorHAnsi"/>
                <w:color w:val="000000" w:themeColor="text1"/>
              </w:rPr>
            </w:pPr>
          </w:p>
        </w:tc>
      </w:tr>
      <w:tr w:rsidR="004A56FC" w:rsidRPr="00B864CD" w14:paraId="61CE4063" w14:textId="77777777" w:rsidTr="003C73AA">
        <w:tc>
          <w:tcPr>
            <w:tcW w:w="2340" w:type="dxa"/>
            <w:tcBorders>
              <w:top w:val="single" w:sz="4" w:space="0" w:color="auto"/>
              <w:bottom w:val="single" w:sz="4" w:space="0" w:color="auto"/>
            </w:tcBorders>
            <w:hideMark/>
          </w:tcPr>
          <w:p w14:paraId="1A879C20" w14:textId="77777777" w:rsidR="00AE2967" w:rsidRPr="00B864CD" w:rsidRDefault="00AE2967" w:rsidP="007442C3">
            <w:pPr>
              <w:rPr>
                <w:rFonts w:cstheme="minorHAnsi"/>
                <w:b/>
                <w:i/>
                <w:color w:val="000000" w:themeColor="text1"/>
              </w:rPr>
            </w:pPr>
            <w:r w:rsidRPr="00B864CD">
              <w:rPr>
                <w:rFonts w:cstheme="minorHAnsi"/>
                <w:b/>
                <w:i/>
                <w:color w:val="000000" w:themeColor="text1"/>
              </w:rPr>
              <w:t>Leptin</w:t>
            </w:r>
          </w:p>
        </w:tc>
        <w:tc>
          <w:tcPr>
            <w:tcW w:w="7010" w:type="dxa"/>
            <w:tcBorders>
              <w:top w:val="single" w:sz="4" w:space="0" w:color="auto"/>
              <w:bottom w:val="single" w:sz="4" w:space="0" w:color="auto"/>
            </w:tcBorders>
          </w:tcPr>
          <w:p w14:paraId="5F7D37B0" w14:textId="77777777" w:rsidR="00AE2967" w:rsidRPr="00B864CD" w:rsidRDefault="00AE2967" w:rsidP="007442C3">
            <w:pPr>
              <w:rPr>
                <w:rFonts w:cstheme="minorHAnsi"/>
                <w:color w:val="000000" w:themeColor="text1"/>
              </w:rPr>
            </w:pPr>
            <w:r w:rsidRPr="00B864CD">
              <w:rPr>
                <w:rFonts w:cstheme="minorHAnsi"/>
                <w:color w:val="000000" w:themeColor="text1"/>
              </w:rPr>
              <w:t>Serum leptin (μg/L) was measured using Human Leptin RIA kit (Cat# HL-81K, Linco Research, Missouri, USA) (Ages 32 &amp; 38) and the Quantikine ELISA Human Leptin Immunoassay (Cat# SLP00, R&amp;D Systems Inc, Minneapolis, MN) (Age 45) according to the manufacturer’s instructions.</w:t>
            </w:r>
          </w:p>
        </w:tc>
      </w:tr>
      <w:tr w:rsidR="004A56FC" w:rsidRPr="00B864CD" w14:paraId="2BA94AEB" w14:textId="77777777" w:rsidTr="003C73AA">
        <w:tc>
          <w:tcPr>
            <w:tcW w:w="2340" w:type="dxa"/>
            <w:tcBorders>
              <w:top w:val="single" w:sz="4" w:space="0" w:color="auto"/>
              <w:bottom w:val="single" w:sz="4" w:space="0" w:color="auto"/>
            </w:tcBorders>
            <w:hideMark/>
          </w:tcPr>
          <w:p w14:paraId="408913EB" w14:textId="77777777" w:rsidR="00AE2967" w:rsidRPr="00B864CD" w:rsidRDefault="00AE2967" w:rsidP="007442C3">
            <w:pPr>
              <w:rPr>
                <w:rFonts w:cstheme="minorHAnsi"/>
                <w:b/>
                <w:color w:val="000000" w:themeColor="text1"/>
              </w:rPr>
            </w:pPr>
            <w:r w:rsidRPr="00B864CD">
              <w:rPr>
                <w:rFonts w:cstheme="minorHAnsi"/>
                <w:b/>
                <w:i/>
                <w:color w:val="000000" w:themeColor="text1"/>
              </w:rPr>
              <w:t>Blood pressure (mean arterial pressure)</w:t>
            </w:r>
          </w:p>
        </w:tc>
        <w:tc>
          <w:tcPr>
            <w:tcW w:w="7010" w:type="dxa"/>
            <w:tcBorders>
              <w:top w:val="single" w:sz="4" w:space="0" w:color="auto"/>
              <w:bottom w:val="single" w:sz="4" w:space="0" w:color="auto"/>
            </w:tcBorders>
          </w:tcPr>
          <w:p w14:paraId="65CE052C" w14:textId="5E8FFFD5" w:rsidR="00AE2967" w:rsidRPr="00B864CD" w:rsidRDefault="00AE2967">
            <w:pPr>
              <w:rPr>
                <w:rFonts w:cstheme="minorHAnsi"/>
                <w:color w:val="000000" w:themeColor="text1"/>
              </w:rPr>
            </w:pPr>
            <w:r w:rsidRPr="00B864CD">
              <w:rPr>
                <w:rFonts w:cstheme="minorHAnsi"/>
                <w:color w:val="000000" w:themeColor="text1"/>
              </w:rPr>
              <w:t xml:space="preserve">Systolic and diastolic blood pressure were assessed according to standard protocols with a Hawksley random-zero sphygmomanometer with a constant deflation valve </w:t>
            </w:r>
            <w:r w:rsidR="00AE03C3" w:rsidRPr="00B864CD">
              <w:rPr>
                <w:rFonts w:cstheme="minorHAnsi"/>
                <w:color w:val="000000" w:themeColor="text1"/>
              </w:rPr>
              <w:t xml:space="preserve">(age 32 &amp; 38) and with </w:t>
            </w:r>
            <w:r w:rsidR="00AE03C3" w:rsidRPr="00B864CD">
              <w:rPr>
                <w:color w:val="000000" w:themeColor="text1"/>
              </w:rPr>
              <w:t>a BpTRU™ Vital Signs Monitor BPM 200 (age 45).</w:t>
            </w:r>
            <w:r w:rsidR="00AE03C3" w:rsidRPr="00B864CD">
              <w:rPr>
                <w:rFonts w:cstheme="minorHAnsi"/>
                <w:color w:val="000000" w:themeColor="text1"/>
              </w:rPr>
              <w:t xml:space="preserve"> </w:t>
            </w:r>
            <w:r w:rsidRPr="00B864CD">
              <w:rPr>
                <w:rFonts w:cstheme="minorHAnsi"/>
                <w:color w:val="000000" w:themeColor="text1"/>
              </w:rPr>
              <w:t>Mean arterial pressure (MAP) was calculated using the formula Diastolic Pressure+1/3(Systolic Pressure - Diastolic Pressure).</w:t>
            </w:r>
          </w:p>
        </w:tc>
      </w:tr>
      <w:tr w:rsidR="004A56FC" w:rsidRPr="00B864CD" w14:paraId="48CB379F" w14:textId="77777777" w:rsidTr="003C73AA">
        <w:tc>
          <w:tcPr>
            <w:tcW w:w="2340" w:type="dxa"/>
            <w:tcBorders>
              <w:top w:val="single" w:sz="4" w:space="0" w:color="auto"/>
              <w:bottom w:val="single" w:sz="4" w:space="0" w:color="auto"/>
            </w:tcBorders>
            <w:hideMark/>
          </w:tcPr>
          <w:p w14:paraId="18ABDC5C" w14:textId="77777777" w:rsidR="00AE2967" w:rsidRPr="00B864CD" w:rsidRDefault="00AE2967" w:rsidP="007442C3">
            <w:pPr>
              <w:rPr>
                <w:rFonts w:cstheme="minorHAnsi"/>
                <w:b/>
                <w:color w:val="000000" w:themeColor="text1"/>
              </w:rPr>
            </w:pPr>
            <w:r w:rsidRPr="00B864CD">
              <w:rPr>
                <w:rFonts w:cstheme="minorHAnsi"/>
                <w:b/>
                <w:i/>
                <w:color w:val="000000" w:themeColor="text1"/>
              </w:rPr>
              <w:t>Cardiorespiratory fitness (VO</w:t>
            </w:r>
            <w:r w:rsidRPr="00B864CD">
              <w:rPr>
                <w:rFonts w:cstheme="minorHAnsi"/>
                <w:b/>
                <w:i/>
                <w:color w:val="000000" w:themeColor="text1"/>
                <w:vertAlign w:val="subscript"/>
              </w:rPr>
              <w:t>2</w:t>
            </w:r>
            <w:r w:rsidRPr="00B864CD">
              <w:rPr>
                <w:rFonts w:cstheme="minorHAnsi"/>
                <w:b/>
                <w:i/>
                <w:color w:val="000000" w:themeColor="text1"/>
              </w:rPr>
              <w:t>Max)</w:t>
            </w:r>
          </w:p>
        </w:tc>
        <w:tc>
          <w:tcPr>
            <w:tcW w:w="7010" w:type="dxa"/>
            <w:tcBorders>
              <w:top w:val="single" w:sz="4" w:space="0" w:color="auto"/>
              <w:bottom w:val="single" w:sz="4" w:space="0" w:color="auto"/>
            </w:tcBorders>
          </w:tcPr>
          <w:p w14:paraId="143177BD" w14:textId="77777777" w:rsidR="00AE2967" w:rsidRPr="00B864CD" w:rsidRDefault="00AE2967" w:rsidP="007442C3">
            <w:pPr>
              <w:rPr>
                <w:rFonts w:cstheme="minorHAnsi"/>
                <w:color w:val="000000" w:themeColor="text1"/>
              </w:rPr>
            </w:pPr>
            <w:r w:rsidRPr="00B864CD">
              <w:rPr>
                <w:rFonts w:cstheme="minorHAnsi"/>
                <w:color w:val="000000" w:themeColor="text1"/>
              </w:rPr>
              <w:t xml:space="preserve">Cardiorespiratory fitness was assessed by measuring heart rate in response to a submaximal exercise test on a friction-braked cycle </w:t>
            </w:r>
            <w:r w:rsidRPr="00B864CD">
              <w:rPr>
                <w:rFonts w:cstheme="minorHAnsi"/>
                <w:color w:val="000000" w:themeColor="text1"/>
              </w:rPr>
              <w:lastRenderedPageBreak/>
              <w:t xml:space="preserve">ergometer. Dependent on the extent to which heart rate increased during a 2-min 50 W warm-up, the workload was adjusted to elicit a steady </w:t>
            </w:r>
            <w:proofErr w:type="gramStart"/>
            <w:r w:rsidRPr="00B864CD">
              <w:rPr>
                <w:rFonts w:cstheme="minorHAnsi"/>
                <w:color w:val="000000" w:themeColor="text1"/>
              </w:rPr>
              <w:t>heart-rate</w:t>
            </w:r>
            <w:proofErr w:type="gramEnd"/>
            <w:r w:rsidRPr="00B864CD">
              <w:rPr>
                <w:rFonts w:cstheme="minorHAnsi"/>
                <w:color w:val="000000" w:themeColor="text1"/>
              </w:rPr>
              <w:t xml:space="preserve"> in the range 130–170 beats per minute. After a further 6-min constant power output stage, the maximum heart rate was recorded and used to calculate predicted maximum oxygen uptake adjusted for body weight in milliliters per minute per kilogram (VO</w:t>
            </w:r>
            <w:r w:rsidRPr="00B864CD">
              <w:rPr>
                <w:rFonts w:cstheme="minorHAnsi"/>
                <w:color w:val="000000" w:themeColor="text1"/>
                <w:vertAlign w:val="subscript"/>
              </w:rPr>
              <w:t>2</w:t>
            </w:r>
            <w:r w:rsidRPr="00B864CD">
              <w:rPr>
                <w:rFonts w:cstheme="minorHAnsi"/>
                <w:color w:val="000000" w:themeColor="text1"/>
              </w:rPr>
              <w:t>max) according to standard protocols.</w:t>
            </w:r>
            <w:r w:rsidRPr="00B864CD" w:rsidDel="00EF7D7D">
              <w:rPr>
                <w:rFonts w:cstheme="minorHAnsi"/>
                <w:color w:val="000000" w:themeColor="text1"/>
              </w:rPr>
              <w:t xml:space="preserve"> </w:t>
            </w:r>
          </w:p>
        </w:tc>
      </w:tr>
      <w:tr w:rsidR="004A56FC" w:rsidRPr="00B864CD" w14:paraId="3E060F88" w14:textId="77777777" w:rsidTr="003C73AA">
        <w:tc>
          <w:tcPr>
            <w:tcW w:w="2340" w:type="dxa"/>
            <w:tcBorders>
              <w:top w:val="single" w:sz="4" w:space="0" w:color="auto"/>
              <w:bottom w:val="single" w:sz="4" w:space="0" w:color="auto"/>
            </w:tcBorders>
            <w:hideMark/>
          </w:tcPr>
          <w:p w14:paraId="37219DD0" w14:textId="77777777" w:rsidR="00AE2967" w:rsidRPr="00B864CD" w:rsidRDefault="00AE2967" w:rsidP="007442C3">
            <w:pPr>
              <w:rPr>
                <w:rFonts w:cstheme="minorHAnsi"/>
                <w:b/>
                <w:color w:val="000000" w:themeColor="text1"/>
              </w:rPr>
            </w:pPr>
            <w:r w:rsidRPr="00B864CD">
              <w:rPr>
                <w:rFonts w:cstheme="minorHAnsi"/>
                <w:b/>
                <w:i/>
                <w:color w:val="000000" w:themeColor="text1"/>
              </w:rPr>
              <w:lastRenderedPageBreak/>
              <w:t>Lung function (FEV</w:t>
            </w:r>
            <w:r w:rsidRPr="00B864CD">
              <w:rPr>
                <w:rFonts w:cstheme="minorHAnsi"/>
                <w:b/>
                <w:i/>
                <w:color w:val="000000" w:themeColor="text1"/>
                <w:vertAlign w:val="subscript"/>
              </w:rPr>
              <w:t>1</w:t>
            </w:r>
            <w:r w:rsidRPr="00B864CD">
              <w:rPr>
                <w:rFonts w:cstheme="minorHAnsi"/>
                <w:b/>
                <w:i/>
                <w:color w:val="000000" w:themeColor="text1"/>
              </w:rPr>
              <w:t xml:space="preserve"> and</w:t>
            </w:r>
            <w:r w:rsidRPr="00B864CD">
              <w:rPr>
                <w:rFonts w:cstheme="minorHAnsi"/>
                <w:color w:val="000000" w:themeColor="text1"/>
              </w:rPr>
              <w:t xml:space="preserve"> </w:t>
            </w:r>
            <w:r w:rsidRPr="00B864CD">
              <w:rPr>
                <w:rFonts w:cstheme="minorHAnsi"/>
                <w:b/>
                <w:i/>
                <w:color w:val="000000" w:themeColor="text1"/>
              </w:rPr>
              <w:t>FEV</w:t>
            </w:r>
            <w:r w:rsidRPr="00B864CD">
              <w:rPr>
                <w:rFonts w:cstheme="minorHAnsi"/>
                <w:b/>
                <w:i/>
                <w:color w:val="000000" w:themeColor="text1"/>
                <w:vertAlign w:val="subscript"/>
              </w:rPr>
              <w:t>1</w:t>
            </w:r>
            <w:r w:rsidRPr="00B864CD">
              <w:rPr>
                <w:rFonts w:cstheme="minorHAnsi"/>
                <w:b/>
                <w:i/>
                <w:color w:val="000000" w:themeColor="text1"/>
              </w:rPr>
              <w:t>/FVC)</w:t>
            </w:r>
          </w:p>
        </w:tc>
        <w:tc>
          <w:tcPr>
            <w:tcW w:w="7010" w:type="dxa"/>
            <w:tcBorders>
              <w:top w:val="single" w:sz="4" w:space="0" w:color="auto"/>
              <w:bottom w:val="single" w:sz="4" w:space="0" w:color="auto"/>
            </w:tcBorders>
          </w:tcPr>
          <w:p w14:paraId="1FB0003E" w14:textId="77777777" w:rsidR="00AE2967" w:rsidRPr="00B864CD" w:rsidRDefault="00AE2967" w:rsidP="007442C3">
            <w:pPr>
              <w:rPr>
                <w:rFonts w:cstheme="minorHAnsi"/>
                <w:color w:val="000000" w:themeColor="text1"/>
              </w:rPr>
            </w:pPr>
            <w:r w:rsidRPr="00B864CD">
              <w:rPr>
                <w:rFonts w:cstheme="minorHAnsi"/>
                <w:color w:val="000000" w:themeColor="text1"/>
              </w:rPr>
              <w:t>We calculated post-albuterol forced expiratory volume in one second (FEV</w:t>
            </w:r>
            <w:r w:rsidRPr="00B864CD">
              <w:rPr>
                <w:rFonts w:cstheme="minorHAnsi"/>
                <w:color w:val="000000" w:themeColor="text1"/>
                <w:vertAlign w:val="subscript"/>
              </w:rPr>
              <w:t>1</w:t>
            </w:r>
            <w:r w:rsidRPr="00B864CD">
              <w:rPr>
                <w:rFonts w:cstheme="minorHAnsi"/>
                <w:color w:val="000000" w:themeColor="text1"/>
              </w:rPr>
              <w:t>) and the ratio of FEV</w:t>
            </w:r>
            <w:r w:rsidRPr="00B864CD">
              <w:rPr>
                <w:rFonts w:cstheme="minorHAnsi"/>
                <w:color w:val="000000" w:themeColor="text1"/>
                <w:vertAlign w:val="subscript"/>
              </w:rPr>
              <w:t>1</w:t>
            </w:r>
            <w:r w:rsidRPr="00B864CD">
              <w:rPr>
                <w:rFonts w:cstheme="minorHAnsi"/>
                <w:color w:val="000000" w:themeColor="text1"/>
              </w:rPr>
              <w:t xml:space="preserve"> to forced vital capacity (FVC; FEV</w:t>
            </w:r>
            <w:r w:rsidRPr="00B864CD">
              <w:rPr>
                <w:rFonts w:cstheme="minorHAnsi"/>
                <w:color w:val="000000" w:themeColor="text1"/>
                <w:vertAlign w:val="subscript"/>
              </w:rPr>
              <w:t>1</w:t>
            </w:r>
            <w:r w:rsidRPr="00B864CD">
              <w:rPr>
                <w:rFonts w:cstheme="minorHAnsi"/>
                <w:color w:val="000000" w:themeColor="text1"/>
              </w:rPr>
              <w:t>/FVC) using measurements from spirometry conducted with a Sensormedics body plethysmograph (Sensormedics Corporation, Yorba Linda, CA, USA).</w:t>
            </w:r>
          </w:p>
        </w:tc>
      </w:tr>
      <w:tr w:rsidR="004A56FC" w:rsidRPr="00B864CD" w14:paraId="187C810D" w14:textId="77777777" w:rsidTr="003C73AA">
        <w:tc>
          <w:tcPr>
            <w:tcW w:w="2340" w:type="dxa"/>
            <w:tcBorders>
              <w:top w:val="single" w:sz="4" w:space="0" w:color="auto"/>
              <w:bottom w:val="single" w:sz="4" w:space="0" w:color="auto"/>
            </w:tcBorders>
            <w:hideMark/>
          </w:tcPr>
          <w:p w14:paraId="098EB96A" w14:textId="77777777" w:rsidR="00AE2967" w:rsidRPr="00B864CD" w:rsidRDefault="00AE2967" w:rsidP="007442C3">
            <w:pPr>
              <w:rPr>
                <w:rFonts w:cstheme="minorHAnsi"/>
                <w:b/>
                <w:color w:val="000000" w:themeColor="text1"/>
              </w:rPr>
            </w:pPr>
            <w:r w:rsidRPr="00B864CD">
              <w:rPr>
                <w:rFonts w:cstheme="minorHAnsi"/>
                <w:b/>
                <w:i/>
                <w:color w:val="000000" w:themeColor="text1"/>
              </w:rPr>
              <w:t>Total cholesterol, triglycerides, and high-density lipoprotein (HDL) cholesterol</w:t>
            </w:r>
          </w:p>
        </w:tc>
        <w:tc>
          <w:tcPr>
            <w:tcW w:w="7010" w:type="dxa"/>
            <w:tcBorders>
              <w:top w:val="single" w:sz="4" w:space="0" w:color="auto"/>
              <w:bottom w:val="single" w:sz="4" w:space="0" w:color="auto"/>
            </w:tcBorders>
          </w:tcPr>
          <w:p w14:paraId="436BC54A" w14:textId="77777777" w:rsidR="00AE2967" w:rsidRPr="00B864CD" w:rsidRDefault="00AE2967" w:rsidP="007442C3">
            <w:pPr>
              <w:rPr>
                <w:rFonts w:cstheme="minorHAnsi"/>
                <w:color w:val="000000" w:themeColor="text1"/>
              </w:rPr>
            </w:pPr>
            <w:r w:rsidRPr="00B864CD">
              <w:rPr>
                <w:rFonts w:cstheme="minorHAnsi"/>
                <w:color w:val="000000" w:themeColor="text1"/>
              </w:rPr>
              <w:t>Serum non-fasting total cholesterol, triglycerides, and high-density lipoprotein (HDL) cholesterol levels (mmol/L) were measured by colorimetric assay on a Hitachi 917 analyzer (ages 26-32), a Modular P analyzer (age 38), and a Cobas c702 analyzer (age 45).</w:t>
            </w:r>
          </w:p>
        </w:tc>
      </w:tr>
      <w:tr w:rsidR="004A56FC" w:rsidRPr="00B864CD" w14:paraId="0FC07A64" w14:textId="77777777" w:rsidTr="003C73AA">
        <w:tc>
          <w:tcPr>
            <w:tcW w:w="2340" w:type="dxa"/>
            <w:tcBorders>
              <w:top w:val="single" w:sz="4" w:space="0" w:color="auto"/>
              <w:bottom w:val="single" w:sz="4" w:space="0" w:color="auto"/>
            </w:tcBorders>
          </w:tcPr>
          <w:p w14:paraId="7B6F890A" w14:textId="77777777" w:rsidR="00AE2967" w:rsidRPr="00B864CD" w:rsidRDefault="00AE2967" w:rsidP="007442C3">
            <w:pPr>
              <w:rPr>
                <w:rFonts w:cstheme="minorHAnsi"/>
                <w:b/>
                <w:i/>
                <w:color w:val="000000" w:themeColor="text1"/>
              </w:rPr>
            </w:pPr>
            <w:r w:rsidRPr="00B864CD">
              <w:rPr>
                <w:rFonts w:cstheme="minorHAnsi"/>
                <w:b/>
                <w:i/>
                <w:color w:val="000000" w:themeColor="text1"/>
              </w:rPr>
              <w:t>Lipoprotein(a)</w:t>
            </w:r>
          </w:p>
        </w:tc>
        <w:tc>
          <w:tcPr>
            <w:tcW w:w="7010" w:type="dxa"/>
            <w:tcBorders>
              <w:top w:val="single" w:sz="4" w:space="0" w:color="auto"/>
              <w:bottom w:val="single" w:sz="4" w:space="0" w:color="auto"/>
            </w:tcBorders>
          </w:tcPr>
          <w:p w14:paraId="00E9431E" w14:textId="77777777" w:rsidR="00AE2967" w:rsidRPr="00B864CD" w:rsidRDefault="00AE2967" w:rsidP="007442C3">
            <w:pPr>
              <w:rPr>
                <w:rFonts w:cstheme="minorHAnsi"/>
                <w:color w:val="000000" w:themeColor="text1"/>
              </w:rPr>
            </w:pPr>
            <w:r w:rsidRPr="00B864CD">
              <w:rPr>
                <w:rFonts w:cstheme="minorHAnsi"/>
                <w:color w:val="000000" w:themeColor="text1"/>
              </w:rPr>
              <w:t>Serum lipoprotein(a) (nmol/L) was measured by a particle-enhanced immunoturbidimetric assay on a Hitachi 917 analyzer (ages 26-32), a Modular P analyzer (age 38), and a Cobas c502 analyzer (age 45).</w:t>
            </w:r>
          </w:p>
        </w:tc>
      </w:tr>
      <w:tr w:rsidR="004A56FC" w:rsidRPr="00B864CD" w14:paraId="387D7E1C" w14:textId="77777777" w:rsidTr="003C73AA">
        <w:trPr>
          <w:trHeight w:val="1053"/>
        </w:trPr>
        <w:tc>
          <w:tcPr>
            <w:tcW w:w="2340" w:type="dxa"/>
            <w:tcBorders>
              <w:top w:val="single" w:sz="4" w:space="0" w:color="auto"/>
              <w:bottom w:val="single" w:sz="4" w:space="0" w:color="auto"/>
            </w:tcBorders>
            <w:hideMark/>
          </w:tcPr>
          <w:p w14:paraId="66241369" w14:textId="77777777" w:rsidR="00AE2967" w:rsidRPr="00B864CD" w:rsidRDefault="00AE2967" w:rsidP="007442C3">
            <w:pPr>
              <w:rPr>
                <w:rFonts w:cstheme="minorHAnsi"/>
                <w:b/>
                <w:color w:val="000000" w:themeColor="text1"/>
              </w:rPr>
            </w:pPr>
            <w:r w:rsidRPr="00B864CD">
              <w:rPr>
                <w:rFonts w:cstheme="minorHAnsi"/>
                <w:b/>
                <w:i/>
                <w:color w:val="000000" w:themeColor="text1"/>
              </w:rPr>
              <w:t>Apolipoprotein B100/A1 ratio</w:t>
            </w:r>
          </w:p>
        </w:tc>
        <w:tc>
          <w:tcPr>
            <w:tcW w:w="7010" w:type="dxa"/>
            <w:tcBorders>
              <w:top w:val="single" w:sz="4" w:space="0" w:color="auto"/>
              <w:bottom w:val="single" w:sz="4" w:space="0" w:color="auto"/>
            </w:tcBorders>
          </w:tcPr>
          <w:p w14:paraId="11099A9F" w14:textId="06729774" w:rsidR="00AE2967" w:rsidRPr="00B864CD" w:rsidRDefault="00AE2967" w:rsidP="007442C3">
            <w:pPr>
              <w:rPr>
                <w:rFonts w:cstheme="minorHAnsi"/>
                <w:color w:val="000000" w:themeColor="text1"/>
              </w:rPr>
            </w:pPr>
            <w:r w:rsidRPr="00B864CD">
              <w:rPr>
                <w:rFonts w:cstheme="minorHAnsi"/>
                <w:color w:val="000000" w:themeColor="text1"/>
              </w:rPr>
              <w:t xml:space="preserve">Serum apolipoprotein A1 </w:t>
            </w:r>
            <w:r w:rsidR="00E96801" w:rsidRPr="00B864CD">
              <w:rPr>
                <w:rFonts w:cstheme="minorHAnsi"/>
                <w:color w:val="000000" w:themeColor="text1"/>
              </w:rPr>
              <w:t xml:space="preserve">(g/L) </w:t>
            </w:r>
            <w:r w:rsidRPr="00B864CD">
              <w:rPr>
                <w:rFonts w:cstheme="minorHAnsi"/>
                <w:color w:val="000000" w:themeColor="text1"/>
              </w:rPr>
              <w:t xml:space="preserve">and apolipoprotein B100 (g/L) were measured by immunoturbidimetric assay on a Hitachi 917 analyzer (ages 26-32), a Modular P analyzer (age 38), and a Cobas c502 (age 45), and the ratio between the two was calculated. </w:t>
            </w:r>
          </w:p>
        </w:tc>
      </w:tr>
      <w:tr w:rsidR="004A56FC" w:rsidRPr="00B864CD" w14:paraId="16FF9EF9" w14:textId="77777777" w:rsidTr="003C73AA">
        <w:tc>
          <w:tcPr>
            <w:tcW w:w="2340" w:type="dxa"/>
            <w:tcBorders>
              <w:top w:val="single" w:sz="4" w:space="0" w:color="auto"/>
              <w:bottom w:val="single" w:sz="4" w:space="0" w:color="auto"/>
            </w:tcBorders>
            <w:hideMark/>
          </w:tcPr>
          <w:p w14:paraId="415BC26D" w14:textId="77777777" w:rsidR="00AE2967" w:rsidRPr="00B864CD" w:rsidRDefault="00AE2967" w:rsidP="007442C3">
            <w:pPr>
              <w:rPr>
                <w:rFonts w:cstheme="minorHAnsi"/>
                <w:b/>
                <w:i/>
                <w:color w:val="000000" w:themeColor="text1"/>
              </w:rPr>
            </w:pPr>
            <w:r w:rsidRPr="00B864CD">
              <w:rPr>
                <w:rFonts w:cstheme="minorHAnsi"/>
                <w:b/>
                <w:i/>
                <w:color w:val="000000" w:themeColor="text1"/>
              </w:rPr>
              <w:t>eGFR (estimated glomerular filtration rate)</w:t>
            </w:r>
          </w:p>
        </w:tc>
        <w:tc>
          <w:tcPr>
            <w:tcW w:w="7010" w:type="dxa"/>
            <w:tcBorders>
              <w:top w:val="single" w:sz="4" w:space="0" w:color="auto"/>
              <w:bottom w:val="single" w:sz="4" w:space="0" w:color="auto"/>
            </w:tcBorders>
          </w:tcPr>
          <w:p w14:paraId="783EA9A9" w14:textId="3E4A9314" w:rsidR="00AE2967" w:rsidRPr="00B864CD" w:rsidRDefault="00AE2967" w:rsidP="007442C3">
            <w:pPr>
              <w:rPr>
                <w:rFonts w:cstheme="minorHAnsi"/>
                <w:color w:val="000000" w:themeColor="text1"/>
              </w:rPr>
            </w:pPr>
            <w:r w:rsidRPr="00B864CD">
              <w:rPr>
                <w:rFonts w:cstheme="minorHAnsi"/>
                <w:color w:val="000000" w:themeColor="text1"/>
              </w:rPr>
              <w:t>Serum creatinine (</w:t>
            </w:r>
            <w:r w:rsidR="00E96801" w:rsidRPr="00B864CD">
              <w:rPr>
                <w:rFonts w:cstheme="minorHAnsi"/>
                <w:color w:val="000000" w:themeColor="text1"/>
              </w:rPr>
              <w:t>u</w:t>
            </w:r>
            <w:r w:rsidRPr="00B864CD">
              <w:rPr>
                <w:rFonts w:cstheme="minorHAnsi"/>
                <w:color w:val="000000" w:themeColor="text1"/>
              </w:rPr>
              <w:t>mol/L) was measured by kinetic colorimetric assay on a Hitachi 917 analyzer (age 32), Modular P analyzer (age 38), and Cobas c702 (age 45) (Roche Diagnostics, Mannheim, Germany). eGFR was estimated utilizing the CKD-Epi formula calculated from serum creatinine.</w:t>
            </w:r>
          </w:p>
        </w:tc>
      </w:tr>
      <w:tr w:rsidR="004A56FC" w:rsidRPr="00B864CD" w14:paraId="69D1A321" w14:textId="77777777" w:rsidTr="003C73AA">
        <w:tc>
          <w:tcPr>
            <w:tcW w:w="2340" w:type="dxa"/>
            <w:tcBorders>
              <w:top w:val="single" w:sz="4" w:space="0" w:color="auto"/>
              <w:bottom w:val="single" w:sz="4" w:space="0" w:color="auto"/>
            </w:tcBorders>
            <w:hideMark/>
          </w:tcPr>
          <w:p w14:paraId="6782838E" w14:textId="77777777" w:rsidR="00AE2967" w:rsidRPr="00B864CD" w:rsidRDefault="00AE2967" w:rsidP="007442C3">
            <w:pPr>
              <w:rPr>
                <w:rFonts w:cstheme="minorHAnsi"/>
                <w:b/>
                <w:i/>
                <w:color w:val="000000" w:themeColor="text1"/>
              </w:rPr>
            </w:pPr>
            <w:r w:rsidRPr="00B864CD">
              <w:rPr>
                <w:rFonts w:cstheme="minorHAnsi"/>
                <w:b/>
                <w:i/>
                <w:color w:val="000000" w:themeColor="text1"/>
              </w:rPr>
              <w:t>Blood urea nitrogen (BUN)</w:t>
            </w:r>
          </w:p>
        </w:tc>
        <w:tc>
          <w:tcPr>
            <w:tcW w:w="7010" w:type="dxa"/>
            <w:tcBorders>
              <w:top w:val="single" w:sz="4" w:space="0" w:color="auto"/>
              <w:bottom w:val="single" w:sz="4" w:space="0" w:color="auto"/>
            </w:tcBorders>
          </w:tcPr>
          <w:p w14:paraId="14FDDB45" w14:textId="0B3247DB" w:rsidR="00AE2967" w:rsidRPr="00B864CD" w:rsidRDefault="00AE2967" w:rsidP="007442C3">
            <w:pPr>
              <w:rPr>
                <w:rFonts w:cstheme="minorHAnsi"/>
                <w:color w:val="000000" w:themeColor="text1"/>
              </w:rPr>
            </w:pPr>
            <w:r w:rsidRPr="00B864CD">
              <w:rPr>
                <w:rFonts w:cstheme="minorHAnsi"/>
                <w:color w:val="000000" w:themeColor="text1"/>
              </w:rPr>
              <w:t>Blood urea nitrogen (mmol/L) was measured by kinetic UV assay at ages 26 (Hitachi 917 analyzer) and 45 (Cobas c702 analyzer), and by kinetic colorimetric assay at ages 32 (Hitachi 917 analyzer) and 38 (Modular P analyzer)</w:t>
            </w:r>
            <w:proofErr w:type="gramStart"/>
            <w:r w:rsidR="00446988" w:rsidRPr="00B864CD">
              <w:rPr>
                <w:rFonts w:cstheme="minorHAnsi"/>
                <w:color w:val="000000" w:themeColor="text1"/>
              </w:rPr>
              <w:t>, ,</w:t>
            </w:r>
            <w:proofErr w:type="gramEnd"/>
            <w:r w:rsidR="00446988" w:rsidRPr="00B864CD">
              <w:rPr>
                <w:rFonts w:cstheme="minorHAnsi"/>
                <w:color w:val="000000" w:themeColor="text1"/>
              </w:rPr>
              <w:t xml:space="preserve"> and Cobas c702 analyzer at age 45</w:t>
            </w:r>
            <w:r w:rsidRPr="00B864CD">
              <w:rPr>
                <w:rFonts w:cstheme="minorHAnsi"/>
                <w:color w:val="000000" w:themeColor="text1"/>
              </w:rPr>
              <w:t>.</w:t>
            </w:r>
          </w:p>
        </w:tc>
      </w:tr>
      <w:tr w:rsidR="004A56FC" w:rsidRPr="00B864CD" w14:paraId="5EF2ED44" w14:textId="77777777" w:rsidTr="003C73AA">
        <w:tc>
          <w:tcPr>
            <w:tcW w:w="2340" w:type="dxa"/>
            <w:tcBorders>
              <w:top w:val="single" w:sz="4" w:space="0" w:color="auto"/>
              <w:bottom w:val="single" w:sz="4" w:space="0" w:color="auto"/>
            </w:tcBorders>
            <w:hideMark/>
          </w:tcPr>
          <w:p w14:paraId="2A6C2A9E" w14:textId="77777777" w:rsidR="00AE2967" w:rsidRPr="00B864CD" w:rsidRDefault="00AE2967" w:rsidP="007442C3">
            <w:pPr>
              <w:rPr>
                <w:rFonts w:cstheme="minorHAnsi"/>
                <w:b/>
                <w:i/>
                <w:color w:val="000000" w:themeColor="text1"/>
              </w:rPr>
            </w:pPr>
            <w:r w:rsidRPr="00B864CD">
              <w:rPr>
                <w:rFonts w:cstheme="minorHAnsi"/>
                <w:b/>
                <w:i/>
                <w:color w:val="000000" w:themeColor="text1"/>
              </w:rPr>
              <w:t>High sensitivity C-reactive protein (hs-CRP)</w:t>
            </w:r>
          </w:p>
        </w:tc>
        <w:tc>
          <w:tcPr>
            <w:tcW w:w="7010" w:type="dxa"/>
            <w:tcBorders>
              <w:top w:val="single" w:sz="4" w:space="0" w:color="auto"/>
              <w:bottom w:val="single" w:sz="4" w:space="0" w:color="auto"/>
            </w:tcBorders>
          </w:tcPr>
          <w:p w14:paraId="12ABAC05" w14:textId="77777777" w:rsidR="00AE2967" w:rsidRPr="00B864CD" w:rsidRDefault="00AE2967" w:rsidP="007442C3">
            <w:pPr>
              <w:rPr>
                <w:rFonts w:cstheme="minorHAnsi"/>
                <w:color w:val="000000" w:themeColor="text1"/>
              </w:rPr>
            </w:pPr>
            <w:r w:rsidRPr="00B864CD">
              <w:rPr>
                <w:rFonts w:cstheme="minorHAnsi"/>
                <w:color w:val="000000" w:themeColor="text1"/>
              </w:rPr>
              <w:t>Serum C-reactive protein (mg/L) was measured by high sensitivity immunoturbidimetric assay on a Hitachi 917 analyzer (age 32), a Modular P analyzer (age 38), and a Cobas c702 (age 45). Values were log-transformed for analysis.</w:t>
            </w:r>
          </w:p>
        </w:tc>
      </w:tr>
      <w:tr w:rsidR="004A56FC" w:rsidRPr="00B864CD" w14:paraId="61A30A97" w14:textId="77777777" w:rsidTr="003C73AA">
        <w:tc>
          <w:tcPr>
            <w:tcW w:w="2340" w:type="dxa"/>
            <w:tcBorders>
              <w:top w:val="single" w:sz="4" w:space="0" w:color="auto"/>
              <w:bottom w:val="single" w:sz="4" w:space="0" w:color="auto"/>
            </w:tcBorders>
            <w:hideMark/>
          </w:tcPr>
          <w:p w14:paraId="28854569" w14:textId="77777777" w:rsidR="00AE2967" w:rsidRPr="00B864CD" w:rsidRDefault="00AE2967" w:rsidP="007442C3">
            <w:pPr>
              <w:rPr>
                <w:rFonts w:cstheme="minorHAnsi"/>
                <w:b/>
                <w:i/>
                <w:color w:val="000000" w:themeColor="text1"/>
              </w:rPr>
            </w:pPr>
            <w:r w:rsidRPr="00B864CD">
              <w:rPr>
                <w:rFonts w:cstheme="minorHAnsi"/>
                <w:b/>
                <w:i/>
                <w:color w:val="000000" w:themeColor="text1"/>
              </w:rPr>
              <w:t>White blood cell count</w:t>
            </w:r>
          </w:p>
        </w:tc>
        <w:tc>
          <w:tcPr>
            <w:tcW w:w="7010" w:type="dxa"/>
            <w:tcBorders>
              <w:top w:val="single" w:sz="4" w:space="0" w:color="auto"/>
              <w:bottom w:val="single" w:sz="4" w:space="0" w:color="auto"/>
            </w:tcBorders>
          </w:tcPr>
          <w:p w14:paraId="1BC4A2B7" w14:textId="77777777" w:rsidR="00AE2967" w:rsidRPr="00B864CD" w:rsidRDefault="00AE2967" w:rsidP="007442C3">
            <w:pPr>
              <w:rPr>
                <w:rFonts w:cstheme="minorHAnsi"/>
                <w:color w:val="000000" w:themeColor="text1"/>
              </w:rPr>
            </w:pPr>
            <w:r w:rsidRPr="00B864CD">
              <w:rPr>
                <w:rFonts w:cstheme="minorHAnsi"/>
                <w:color w:val="000000" w:themeColor="text1"/>
              </w:rPr>
              <w:t>Whole blood white blood cell counts (x10</w:t>
            </w:r>
            <w:r w:rsidRPr="00B864CD">
              <w:rPr>
                <w:rFonts w:cstheme="minorHAnsi"/>
                <w:color w:val="000000" w:themeColor="text1"/>
                <w:vertAlign w:val="superscript"/>
              </w:rPr>
              <w:t>9</w:t>
            </w:r>
            <w:r w:rsidRPr="00B864CD">
              <w:rPr>
                <w:rFonts w:cstheme="minorHAnsi"/>
                <w:color w:val="000000" w:themeColor="text1"/>
              </w:rPr>
              <w:t>/L) were measured by flow cytometry with a Coulter STKS (Coulter Corporation, Miami, FL) (age 26), a Sysmex XE2100 (Sysmex Corporation, Japan) (age 32), and a Sysmex XE5000 (Sysmex Corporation, Japan) (ages 38 and 45). Counts were log-transformed for analysis.</w:t>
            </w:r>
          </w:p>
        </w:tc>
      </w:tr>
      <w:tr w:rsidR="004A56FC" w:rsidRPr="00B864CD" w14:paraId="6EC01266" w14:textId="77777777" w:rsidTr="003C73AA">
        <w:tc>
          <w:tcPr>
            <w:tcW w:w="2340" w:type="dxa"/>
            <w:tcBorders>
              <w:top w:val="single" w:sz="4" w:space="0" w:color="auto"/>
              <w:bottom w:val="single" w:sz="4" w:space="0" w:color="auto"/>
            </w:tcBorders>
            <w:hideMark/>
          </w:tcPr>
          <w:p w14:paraId="46DA20F7" w14:textId="77777777" w:rsidR="00AE2967" w:rsidRPr="00B864CD" w:rsidRDefault="00AE2967" w:rsidP="007442C3">
            <w:pPr>
              <w:rPr>
                <w:rFonts w:cstheme="minorHAnsi"/>
                <w:b/>
                <w:i/>
                <w:color w:val="000000" w:themeColor="text1"/>
              </w:rPr>
            </w:pPr>
            <w:r w:rsidRPr="00B864CD">
              <w:rPr>
                <w:rFonts w:cstheme="minorHAnsi"/>
                <w:b/>
                <w:i/>
                <w:color w:val="000000" w:themeColor="text1"/>
              </w:rPr>
              <w:t>Mean periodontal attachment loss (AL)</w:t>
            </w:r>
          </w:p>
        </w:tc>
        <w:tc>
          <w:tcPr>
            <w:tcW w:w="7010" w:type="dxa"/>
            <w:tcBorders>
              <w:top w:val="single" w:sz="4" w:space="0" w:color="auto"/>
              <w:bottom w:val="single" w:sz="4" w:space="0" w:color="auto"/>
            </w:tcBorders>
          </w:tcPr>
          <w:p w14:paraId="392F82F7" w14:textId="77777777" w:rsidR="00AE2967" w:rsidRPr="00B864CD" w:rsidRDefault="00AE2967" w:rsidP="007442C3">
            <w:pPr>
              <w:rPr>
                <w:rFonts w:cstheme="minorHAnsi"/>
                <w:color w:val="000000" w:themeColor="text1"/>
              </w:rPr>
            </w:pPr>
            <w:r w:rsidRPr="00B864CD">
              <w:rPr>
                <w:rFonts w:cstheme="minorHAnsi"/>
                <w:color w:val="000000" w:themeColor="text1"/>
              </w:rPr>
              <w:t xml:space="preserve">Calibrated dentists used a PCP-2 periodontal probe (Hu-Friedy; Chicago) to measure gingival recession (the distance from the cementoenamel junction to the gingival margin) and probing depth (the distance from the probe tip to the gingival margin) in millimeters </w:t>
            </w:r>
            <w:r w:rsidRPr="00B864CD">
              <w:rPr>
                <w:rFonts w:cstheme="minorHAnsi"/>
                <w:color w:val="000000" w:themeColor="text1"/>
              </w:rPr>
              <w:lastRenderedPageBreak/>
              <w:t>at three sites (mesiobuccal, buccal, and distolingual) per tooth, excluding third molar teeth. Periodontal attachment loss for each site was computed by summing gingival recession and probing depth. and then averaged across all periodontally examined teeth. Periodontal examinations were conducted with half-mouth examinations at age 26 and full-mouth examinations at ages 32, 38, and 45 years.</w:t>
            </w:r>
          </w:p>
        </w:tc>
      </w:tr>
      <w:tr w:rsidR="004A56FC" w:rsidRPr="00B864CD" w14:paraId="741F0354" w14:textId="77777777" w:rsidTr="003C73AA">
        <w:tc>
          <w:tcPr>
            <w:tcW w:w="2340" w:type="dxa"/>
            <w:tcBorders>
              <w:top w:val="single" w:sz="4" w:space="0" w:color="auto"/>
            </w:tcBorders>
            <w:hideMark/>
          </w:tcPr>
          <w:p w14:paraId="598EB6A2" w14:textId="77777777" w:rsidR="00AE2967" w:rsidRPr="00B864CD" w:rsidRDefault="00AE2967" w:rsidP="007442C3">
            <w:pPr>
              <w:rPr>
                <w:rFonts w:cstheme="minorHAnsi"/>
                <w:b/>
                <w:i/>
                <w:color w:val="000000" w:themeColor="text1"/>
              </w:rPr>
            </w:pPr>
            <w:r w:rsidRPr="00B864CD">
              <w:rPr>
                <w:rFonts w:cstheme="minorHAnsi"/>
                <w:b/>
                <w:i/>
                <w:color w:val="000000" w:themeColor="text1"/>
              </w:rPr>
              <w:lastRenderedPageBreak/>
              <w:t>Caries-affected tooth surfaces</w:t>
            </w:r>
          </w:p>
        </w:tc>
        <w:tc>
          <w:tcPr>
            <w:tcW w:w="7010" w:type="dxa"/>
            <w:tcBorders>
              <w:top w:val="single" w:sz="4" w:space="0" w:color="auto"/>
            </w:tcBorders>
            <w:hideMark/>
          </w:tcPr>
          <w:p w14:paraId="53014E20" w14:textId="77777777" w:rsidR="00AE2967" w:rsidRPr="00B864CD" w:rsidRDefault="00AE2967" w:rsidP="007442C3">
            <w:pPr>
              <w:rPr>
                <w:rFonts w:cstheme="minorHAnsi"/>
                <w:color w:val="000000" w:themeColor="text1"/>
              </w:rPr>
            </w:pPr>
            <w:r w:rsidRPr="00B864CD">
              <w:rPr>
                <w:rFonts w:cstheme="minorHAnsi"/>
                <w:color w:val="000000" w:themeColor="text1"/>
              </w:rPr>
              <w:t>Calibrated dentists examined the teeth for caries and restorations following the World Health Organization Oral Health Surveys methodology. Four surfaces were considered for anterior teeth (canines and incisors): buccal, lingual, distal, and mesial; a fifth surface, occlusal, was considered for premolar and molar teeth. Tooth surfaces were classified as having untreated caries (DS) if a cavitated carious lesion was present, as filled (FS) if a dental restoration was present (including crowns</w:t>
            </w:r>
            <w:proofErr w:type="gramStart"/>
            <w:r w:rsidRPr="00B864CD">
              <w:rPr>
                <w:rFonts w:cstheme="minorHAnsi"/>
                <w:color w:val="000000" w:themeColor="text1"/>
              </w:rPr>
              <w:t>), and</w:t>
            </w:r>
            <w:proofErr w:type="gramEnd"/>
            <w:r w:rsidRPr="00B864CD">
              <w:rPr>
                <w:rFonts w:cstheme="minorHAnsi"/>
                <w:color w:val="000000" w:themeColor="text1"/>
              </w:rPr>
              <w:t xml:space="preserve"> missing due to caries (MS) if the participant indicated that a given tooth had been removed due to decay or failed dental restorative work. DS, MS, and FS counts were summed to obtain a DMFS score (ranging from 0 to 148 surfaces). Caries experience was expressed as the % of tooth surfaces that had been caries-affected, excluding surfaces of teeth that were unerupted, lost due to trauma, extracted for reasons other than caries (impaction, orthodontic treatment, or periodontal disease), or could not be visualized by the examiner. </w:t>
            </w:r>
          </w:p>
        </w:tc>
      </w:tr>
    </w:tbl>
    <w:p w14:paraId="7E107792" w14:textId="77777777" w:rsidR="005E3BD2" w:rsidRDefault="005E3BD2" w:rsidP="001C6D7B">
      <w:pPr>
        <w:rPr>
          <w:rFonts w:cstheme="minorHAnsi"/>
          <w:b/>
          <w:color w:val="000000" w:themeColor="text1"/>
        </w:rPr>
      </w:pPr>
    </w:p>
    <w:p w14:paraId="0F46AFD4" w14:textId="77777777" w:rsidR="005E3BD2" w:rsidRDefault="005E3BD2" w:rsidP="001C6D7B">
      <w:pPr>
        <w:rPr>
          <w:rFonts w:cstheme="minorHAnsi"/>
          <w:b/>
          <w:color w:val="000000" w:themeColor="text1"/>
        </w:rPr>
      </w:pPr>
    </w:p>
    <w:p w14:paraId="54A9BCD9" w14:textId="77777777" w:rsidR="005E3BD2" w:rsidRDefault="005E3BD2" w:rsidP="001C6D7B">
      <w:pPr>
        <w:rPr>
          <w:rFonts w:cstheme="minorHAnsi"/>
          <w:b/>
          <w:color w:val="000000" w:themeColor="text1"/>
        </w:rPr>
      </w:pPr>
    </w:p>
    <w:p w14:paraId="478036E7" w14:textId="77777777" w:rsidR="005E3BD2" w:rsidRDefault="005E3BD2" w:rsidP="005E3BD2">
      <w:pPr>
        <w:tabs>
          <w:tab w:val="left" w:pos="2437"/>
        </w:tabs>
        <w:rPr>
          <w:b/>
          <w:bCs/>
          <w:color w:val="000000" w:themeColor="text1"/>
        </w:rPr>
      </w:pPr>
      <w:r>
        <w:rPr>
          <w:b/>
          <w:bCs/>
          <w:color w:val="000000" w:themeColor="text1"/>
        </w:rPr>
        <w:br w:type="page"/>
      </w:r>
    </w:p>
    <w:p w14:paraId="0EBEAC8C" w14:textId="4834E2A6" w:rsidR="005E3BD2" w:rsidRPr="00F31999" w:rsidRDefault="005E3BD2" w:rsidP="005E3BD2">
      <w:pPr>
        <w:tabs>
          <w:tab w:val="left" w:pos="2437"/>
        </w:tabs>
        <w:rPr>
          <w:color w:val="000000" w:themeColor="text1"/>
        </w:rPr>
      </w:pPr>
      <w:r w:rsidRPr="00FF7F47">
        <w:rPr>
          <w:b/>
          <w:bCs/>
          <w:color w:val="000000" w:themeColor="text1"/>
        </w:rPr>
        <w:lastRenderedPageBreak/>
        <w:t xml:space="preserve">Supplementary File </w:t>
      </w:r>
      <w:r>
        <w:rPr>
          <w:b/>
          <w:bCs/>
          <w:color w:val="000000" w:themeColor="text1"/>
        </w:rPr>
        <w:t>1B</w:t>
      </w:r>
      <w:r w:rsidRPr="00FF7F47">
        <w:rPr>
          <w:b/>
          <w:bCs/>
          <w:color w:val="000000" w:themeColor="text1"/>
        </w:rPr>
        <w:t>. CpGs</w:t>
      </w:r>
      <w:r w:rsidR="000F0B76">
        <w:rPr>
          <w:b/>
          <w:bCs/>
          <w:color w:val="000000" w:themeColor="text1"/>
        </w:rPr>
        <w:t xml:space="preserve"> included in the </w:t>
      </w:r>
      <w:r w:rsidR="000F0B76" w:rsidRPr="00FF7F47">
        <w:rPr>
          <w:b/>
          <w:bCs/>
          <w:color w:val="000000" w:themeColor="text1"/>
        </w:rPr>
        <w:t>DunedinPACE</w:t>
      </w:r>
      <w:r w:rsidR="000F0B76">
        <w:rPr>
          <w:b/>
          <w:bCs/>
          <w:color w:val="000000" w:themeColor="text1"/>
        </w:rPr>
        <w:t xml:space="preserve"> algorithm</w:t>
      </w:r>
      <w:r w:rsidRPr="00FF7F47">
        <w:rPr>
          <w:b/>
          <w:bCs/>
          <w:color w:val="000000" w:themeColor="text1"/>
        </w:rPr>
        <w:t xml:space="preserve"> </w:t>
      </w:r>
      <w:r w:rsidR="00A866DC">
        <w:rPr>
          <w:b/>
          <w:bCs/>
          <w:color w:val="000000" w:themeColor="text1"/>
        </w:rPr>
        <w:t xml:space="preserve">and their </w:t>
      </w:r>
      <w:r w:rsidR="000F0B76">
        <w:rPr>
          <w:b/>
          <w:bCs/>
          <w:color w:val="000000" w:themeColor="text1"/>
        </w:rPr>
        <w:t xml:space="preserve">scoring coefficients. </w:t>
      </w:r>
      <w:r w:rsidR="00F31999">
        <w:rPr>
          <w:color w:val="000000" w:themeColor="text1"/>
        </w:rPr>
        <w:t xml:space="preserve">CpG IDs and scoring coefficients are provided for documentation only. Computation of the DunedinPACE </w:t>
      </w:r>
      <w:r w:rsidR="0074684C">
        <w:rPr>
          <w:color w:val="000000" w:themeColor="text1"/>
        </w:rPr>
        <w:t xml:space="preserve">measure from array data </w:t>
      </w:r>
      <w:r w:rsidR="00F31999">
        <w:rPr>
          <w:color w:val="000000" w:themeColor="text1"/>
        </w:rPr>
        <w:t xml:space="preserve">requires additional data normalization performed within the R package DunedinPACE, available from GitHub at </w:t>
      </w:r>
      <w:hyperlink r:id="rId8" w:history="1">
        <w:r w:rsidR="005655FB" w:rsidRPr="00E26908">
          <w:rPr>
            <w:rStyle w:val="Hyperlink"/>
          </w:rPr>
          <w:t>https://github.com/danbelsky/DunedinPACE</w:t>
        </w:r>
      </w:hyperlink>
      <w:r w:rsidR="0074684C">
        <w:rPr>
          <w:color w:val="000000" w:themeColor="text1"/>
        </w:rPr>
        <w:t>.</w:t>
      </w:r>
      <w:r w:rsidR="005655FB">
        <w:rPr>
          <w:color w:val="000000" w:themeColor="text1"/>
        </w:rPr>
        <w:br/>
      </w:r>
    </w:p>
    <w:p w14:paraId="795D5C51" w14:textId="07451AD1" w:rsidR="001C6D7B" w:rsidRPr="00B864CD" w:rsidRDefault="00501A50" w:rsidP="001C6D7B">
      <w:pPr>
        <w:rPr>
          <w:rFonts w:cstheme="minorHAnsi"/>
          <w:b/>
          <w:color w:val="000000" w:themeColor="text1"/>
        </w:rPr>
      </w:pPr>
      <w:r w:rsidRPr="00501A50">
        <w:rPr>
          <w:rFonts w:cstheme="minorHAnsi"/>
          <w:b/>
          <w:noProof/>
          <w:color w:val="000000" w:themeColor="text1"/>
        </w:rPr>
        <w:drawing>
          <wp:inline distT="0" distB="0" distL="0" distR="0" wp14:anchorId="247973B6" wp14:editId="3618E47E">
            <wp:extent cx="5184157" cy="696648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85354" cy="6968096"/>
                    </a:xfrm>
                    <a:prstGeom prst="rect">
                      <a:avLst/>
                    </a:prstGeom>
                  </pic:spPr>
                </pic:pic>
              </a:graphicData>
            </a:graphic>
          </wp:inline>
        </w:drawing>
      </w:r>
      <w:r w:rsidRPr="00501A50">
        <w:rPr>
          <w:rFonts w:cstheme="minorHAnsi"/>
          <w:b/>
          <w:color w:val="000000" w:themeColor="text1"/>
        </w:rPr>
        <w:t xml:space="preserve"> </w:t>
      </w:r>
      <w:r w:rsidR="00AE2967" w:rsidRPr="00B864CD">
        <w:rPr>
          <w:rFonts w:cstheme="minorHAnsi"/>
          <w:b/>
          <w:color w:val="000000" w:themeColor="text1"/>
        </w:rPr>
        <w:br w:type="page"/>
      </w:r>
    </w:p>
    <w:p w14:paraId="482CA31F" w14:textId="56FB69AB" w:rsidR="00025C11" w:rsidRDefault="00025C11" w:rsidP="00C53AFE">
      <w:pPr>
        <w:rPr>
          <w:b/>
          <w:color w:val="000000" w:themeColor="text1"/>
        </w:rPr>
      </w:pPr>
    </w:p>
    <w:p w14:paraId="28DC2151" w14:textId="7DCC924B" w:rsidR="00C53AFE" w:rsidRPr="00B864CD" w:rsidRDefault="008C6FBB" w:rsidP="00C53AFE">
      <w:pPr>
        <w:rPr>
          <w:b/>
          <w:bCs/>
          <w:color w:val="000000"/>
        </w:rPr>
      </w:pPr>
      <w:r w:rsidRPr="00B864CD">
        <w:rPr>
          <w:b/>
          <w:color w:val="000000" w:themeColor="text1"/>
        </w:rPr>
        <w:t xml:space="preserve">Supplementary </w:t>
      </w:r>
      <w:r>
        <w:rPr>
          <w:b/>
          <w:color w:val="000000" w:themeColor="text1"/>
        </w:rPr>
        <w:t>File 1</w:t>
      </w:r>
      <w:r w:rsidR="00FA3485">
        <w:rPr>
          <w:b/>
          <w:color w:val="000000" w:themeColor="text1"/>
        </w:rPr>
        <w:t>C</w:t>
      </w:r>
      <w:r w:rsidR="00C53AFE" w:rsidRPr="00B864CD">
        <w:rPr>
          <w:b/>
          <w:bCs/>
          <w:color w:val="000000"/>
        </w:rPr>
        <w:t xml:space="preserve">. Independent associations of DunedinPACE with mortality, morbidity, and disability in models including covariate adjustment </w:t>
      </w:r>
      <w:r w:rsidR="001403B7" w:rsidRPr="00B864CD">
        <w:rPr>
          <w:b/>
          <w:bCs/>
          <w:color w:val="000000"/>
        </w:rPr>
        <w:t xml:space="preserve">for </w:t>
      </w:r>
      <w:r w:rsidR="00C53AFE" w:rsidRPr="00B864CD">
        <w:rPr>
          <w:b/>
          <w:bCs/>
          <w:color w:val="000000"/>
        </w:rPr>
        <w:t xml:space="preserve">DNA methylation clocks. </w:t>
      </w:r>
      <w:r w:rsidR="00C53AFE" w:rsidRPr="00B864CD">
        <w:rPr>
          <w:color w:val="000000"/>
        </w:rPr>
        <w:t xml:space="preserve">The table reports effect-sizes for DunedinPACE and DNA methylation clocks from time-to-event analysis of mortality, cardiovascular disease (CVD), and stroke or transient ischemic attack (TIA) and repeated-measures analysis of incident limitations to activities of daily living (ADLs) in the Framingham Heart Study Offspring cohort. Each model includes DunedinPACE, one of the DNA methylation clocks, and covariates for age and sex. Time-to-event model effect-sizes are reported as hazard ratios (HR). Repeated-measures model effect-sizes are reported as incidence-rate ratios (IRR). </w:t>
      </w:r>
      <w:r w:rsidR="00C53AFE" w:rsidRPr="00B864CD">
        <w:rPr>
          <w:b/>
          <w:bCs/>
          <w:color w:val="000000"/>
        </w:rPr>
        <w:br/>
      </w:r>
    </w:p>
    <w:p w14:paraId="1FF6EC7B" w14:textId="0BF57EE4" w:rsidR="00C53AFE" w:rsidRPr="00B864CD" w:rsidRDefault="00295C57" w:rsidP="00C53AFE">
      <w:pPr>
        <w:rPr>
          <w:rFonts w:asciiTheme="majorHAnsi" w:hAnsiTheme="majorHAnsi" w:cstheme="majorHAnsi"/>
          <w:b/>
          <w:bCs/>
          <w:color w:val="000000"/>
          <w:sz w:val="20"/>
          <w:szCs w:val="20"/>
        </w:rPr>
      </w:pPr>
      <w:r w:rsidRPr="00B864CD" w:rsidDel="00C43420">
        <w:rPr>
          <w:rFonts w:asciiTheme="majorHAnsi" w:hAnsiTheme="majorHAnsi" w:cstheme="majorHAnsi"/>
          <w:b/>
          <w:bCs/>
          <w:color w:val="000000"/>
          <w:sz w:val="20"/>
          <w:szCs w:val="20"/>
        </w:rPr>
        <w:t xml:space="preserve"> </w:t>
      </w:r>
      <w:r w:rsidR="00EB16A1" w:rsidRPr="00B864CD">
        <w:rPr>
          <w:rFonts w:asciiTheme="majorHAnsi" w:hAnsiTheme="majorHAnsi" w:cstheme="majorHAnsi"/>
          <w:b/>
          <w:bCs/>
          <w:noProof/>
          <w:color w:val="000000"/>
          <w:sz w:val="20"/>
          <w:szCs w:val="20"/>
        </w:rPr>
        <w:drawing>
          <wp:inline distT="0" distB="0" distL="0" distR="0" wp14:anchorId="5D35A4FB" wp14:editId="6E071476">
            <wp:extent cx="5943600" cy="37941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794125"/>
                    </a:xfrm>
                    <a:prstGeom prst="rect">
                      <a:avLst/>
                    </a:prstGeom>
                  </pic:spPr>
                </pic:pic>
              </a:graphicData>
            </a:graphic>
          </wp:inline>
        </w:drawing>
      </w:r>
      <w:r w:rsidR="00EB16A1" w:rsidRPr="00B864CD" w:rsidDel="00C43420">
        <w:rPr>
          <w:rFonts w:asciiTheme="majorHAnsi" w:hAnsiTheme="majorHAnsi" w:cstheme="majorHAnsi"/>
          <w:b/>
          <w:bCs/>
          <w:color w:val="000000"/>
          <w:sz w:val="20"/>
          <w:szCs w:val="20"/>
        </w:rPr>
        <w:t xml:space="preserve"> </w:t>
      </w:r>
      <w:r w:rsidR="00C53AFE" w:rsidRPr="00B864CD">
        <w:rPr>
          <w:rFonts w:asciiTheme="majorHAnsi" w:hAnsiTheme="majorHAnsi" w:cstheme="majorHAnsi"/>
          <w:b/>
          <w:bCs/>
          <w:color w:val="000000"/>
          <w:sz w:val="20"/>
          <w:szCs w:val="20"/>
        </w:rPr>
        <w:br w:type="page"/>
      </w:r>
    </w:p>
    <w:p w14:paraId="517A9A12" w14:textId="4654A4AE" w:rsidR="00E856AA" w:rsidRDefault="00E856AA" w:rsidP="00E856AA">
      <w:pPr>
        <w:rPr>
          <w:b/>
          <w:color w:val="000000" w:themeColor="text1"/>
        </w:rPr>
      </w:pPr>
      <w:r w:rsidRPr="00B864CD">
        <w:rPr>
          <w:b/>
          <w:color w:val="000000" w:themeColor="text1"/>
        </w:rPr>
        <w:lastRenderedPageBreak/>
        <w:t xml:space="preserve">Supplementary </w:t>
      </w:r>
      <w:r>
        <w:rPr>
          <w:b/>
          <w:color w:val="000000" w:themeColor="text1"/>
        </w:rPr>
        <w:t>File 1</w:t>
      </w:r>
      <w:r w:rsidR="00FA3485">
        <w:rPr>
          <w:b/>
          <w:color w:val="000000" w:themeColor="text1"/>
        </w:rPr>
        <w:t>D</w:t>
      </w:r>
      <w:r w:rsidRPr="00B864CD">
        <w:rPr>
          <w:b/>
          <w:color w:val="000000" w:themeColor="text1"/>
        </w:rPr>
        <w:t>. Physical and cognitive functioning and subjective signs of aging measures in the Dunedin Study</w:t>
      </w:r>
    </w:p>
    <w:p w14:paraId="677586D8" w14:textId="77777777" w:rsidR="00E856AA" w:rsidRPr="00B864CD" w:rsidRDefault="00E856AA" w:rsidP="00E856AA">
      <w:pPr>
        <w:rPr>
          <w:b/>
          <w:bCs/>
          <w:color w:val="000000" w:themeColor="text1"/>
        </w:rPr>
      </w:pPr>
    </w:p>
    <w:tbl>
      <w:tblPr>
        <w:tblStyle w:val="TableGrid"/>
        <w:tblW w:w="0" w:type="auto"/>
        <w:tblLook w:val="04A0" w:firstRow="1" w:lastRow="0" w:firstColumn="1" w:lastColumn="0" w:noHBand="0" w:noVBand="1"/>
      </w:tblPr>
      <w:tblGrid>
        <w:gridCol w:w="1483"/>
        <w:gridCol w:w="7867"/>
      </w:tblGrid>
      <w:tr w:rsidR="00E856AA" w:rsidRPr="00B864CD" w14:paraId="2BD621AE" w14:textId="77777777" w:rsidTr="009222DD">
        <w:tc>
          <w:tcPr>
            <w:tcW w:w="9350" w:type="dxa"/>
            <w:gridSpan w:val="2"/>
          </w:tcPr>
          <w:p w14:paraId="22C2F24C" w14:textId="77777777" w:rsidR="00E856AA" w:rsidRPr="00B864CD" w:rsidRDefault="00E856AA" w:rsidP="009222DD">
            <w:pPr>
              <w:rPr>
                <w:b/>
                <w:color w:val="000000" w:themeColor="text1"/>
              </w:rPr>
            </w:pPr>
            <w:r w:rsidRPr="00B864CD">
              <w:rPr>
                <w:b/>
                <w:color w:val="000000" w:themeColor="text1"/>
              </w:rPr>
              <w:t xml:space="preserve">Physical Functioning </w:t>
            </w:r>
            <w:r w:rsidRPr="00B864CD">
              <w:rPr>
                <w:color w:val="000000" w:themeColor="text1"/>
              </w:rPr>
              <w:t>(N=817 with DNAm data)</w:t>
            </w:r>
          </w:p>
        </w:tc>
      </w:tr>
      <w:tr w:rsidR="00E856AA" w:rsidRPr="00B864CD" w14:paraId="6A02B93B" w14:textId="77777777" w:rsidTr="009222DD">
        <w:tc>
          <w:tcPr>
            <w:tcW w:w="1435" w:type="dxa"/>
          </w:tcPr>
          <w:p w14:paraId="50D6E268" w14:textId="77777777" w:rsidR="00E856AA" w:rsidRPr="00B864CD" w:rsidRDefault="00E856AA" w:rsidP="009222DD">
            <w:pPr>
              <w:rPr>
                <w:color w:val="000000" w:themeColor="text1"/>
              </w:rPr>
            </w:pPr>
            <w:r w:rsidRPr="00B864CD">
              <w:rPr>
                <w:color w:val="000000" w:themeColor="text1"/>
              </w:rPr>
              <w:t>Balance</w:t>
            </w:r>
          </w:p>
        </w:tc>
        <w:tc>
          <w:tcPr>
            <w:tcW w:w="7915" w:type="dxa"/>
          </w:tcPr>
          <w:p w14:paraId="5EB89396" w14:textId="77777777" w:rsidR="00E856AA" w:rsidRPr="00B864CD" w:rsidRDefault="00E856AA" w:rsidP="009222DD">
            <w:pPr>
              <w:rPr>
                <w:color w:val="000000" w:themeColor="text1"/>
              </w:rPr>
            </w:pPr>
            <w:r w:rsidRPr="00B864CD">
              <w:rPr>
                <w:color w:val="000000" w:themeColor="text1"/>
              </w:rPr>
              <w:t xml:space="preserve">Balance was measured using the Unipedal Stance Test as the maximum time achieved across three trials of the test with eyes closed </w:t>
            </w:r>
            <w:r w:rsidRPr="00B864CD">
              <w:rPr>
                <w:color w:val="000000" w:themeColor="text1"/>
              </w:rPr>
              <w:fldChar w:fldCharType="begin"/>
            </w:r>
            <w:r w:rsidRPr="00B864CD">
              <w:rPr>
                <w:color w:val="000000" w:themeColor="text1"/>
              </w:rPr>
              <w:instrText xml:space="preserve"> ADDIN ZOTERO_ITEM CSL_CITATION {"citationID":"91ViXatr","properties":{"formattedCitation":"(Bohannon et al., 1984; Springer et al., 2007; Vereeck et al., 2008)","plainCitation":"(Bohannon et al., 1984; Springer et al., 2007; Vereeck et al., 2008)","noteIndex":0},"citationItems":[{"id":6082,"uris":["http://zotero.org/users/1593913/items/S4KWCJ5U"],"uri":["http://zotero.org/users/1593913/items/S4KWCJ5U"],"itemData":{"id":6082,"type":"article-journal","abstract":"This study investigated whether 184 volunteers from 20 to 79 years of age could perform eight timed balance tests and examined the relationship between test performance and age. All subjects were able to balance with their feet together and eyes closed for 30 seconds. The ability to balance on the right and left legs did not differ significantly. Subjects over 60 years of age were unable to balance on one leg, particularly when their eyes were closed, for as long a period as younger subjects. The Pearson product-moment and Spearman correlations of age and duration of one-legged balance were -.65 and -.71 (eyes opened) and -.79 and -.75 (eyes closed). The findings suggest that when timed balance tests are performed as a part of a patient's neurologic examination, the results should be interpreted in light of the patient's age. Information is provided to assist in this interpretation.","container-title":"Physical therapy","ISSN":"0031-9023","issue":"7","journalAbbreviation":"Phys Ther","language":"eng","note":"PMID: 6739548","page":"1067-1070","source":"NCBI PubMed","title":"Decrease in timed balance test scores with aging","volume":"64","author":[{"family":"Bohannon","given":"R W"},{"family":"Larkin","given":"P A"},{"family":"Cook","given":"A C"},{"family":"Gear","given":"J"},{"family":"Singer","given":"J"}],"issued":{"date-parts":[["1984",7]]}}},{"id":6080,"uris":["http://zotero.org/users/1593913/items/QZF4MHR2"],"uri":["http://zotero.org/users/1593913/items/QZF4MHR2"],"itemData":{"id":6080,"type":"article-journal","abstract":"PURPOSE: Limited normative data are available for the unipedal stance test (UPST), making it difficult for clinicians to use it confidently to detect subtle balance impairments. The purpose of this study was to generate normative values for repeated trials of the UPST with eyes opened and eyes closed across age groups and gender.\nMETHODS: This prospective, mixed-model design was set in a tertiary care medical center. Healthy subjects (n= 549), 18 years or older, performed the UPST with eyes open and closed. Mean and best of 3 UPST times for males and females of 6 age groups (18-39, 40-49, 50-59, 60-69, 70-79, and 80+) were documented and inter-rater reliability was tested.\nRESULTS: There was a significant age dependent decrease in UPST time during both conditions. Inter-rater reliability for the best of 3 trials was determined to be excellent with an intra-class correlation coefficient of 0.994 (95% confidence interval 0.989-0.996) for eyes open and 0.998 (95% confidence interval 0.996-0.999) for eyes closed.\nCONCLUSIONS: This study adds to the understanding of typical performance on the UPST. Performance is age-specific and not related to gender. Clinicians now have more extensive normative values to which individuals can be compared.","container-title":"Journal of geriatric physical therapy (2001)","ISSN":"1539-8412","issue":"1","journalAbbreviation":"J Geriatr Phys Ther","language":"eng","note":"PMID: 19839175","page":"8-15","source":"NCBI PubMed","title":"Normative values for the unipedal stance test with eyes open and closed","volume":"30","author":[{"family":"Springer","given":"Barbara A"},{"family":"Marin","given":"Raul"},{"family":"Cyhan","given":"Tamara"},{"family":"Roberts","given":"Holly"},{"family":"Gill","given":"Norman W"}],"issued":{"date-parts":[["2007"]]}}},{"id":5782,"uris":["http://zotero.org/users/1593913/items/9AJAPPF5"],"uri":["http://zotero.org/users/1593913/items/9AJAPPF5"],"itemData":{"id":5782,"type":"article-journal","container-title":"International Journal of Audiology","DOI":"10.1080/14992020701689688","ISSN":"1499-2027, 1708-8186","issue":"2","page":"67-75","source":"CrossRef","title":"Clinical assessment of balance: Normative data, and gender and age effects","title-short":"Clinical assessment of balance","URL":"http://informahealthcare.com/doi/abs/10.1080/14992020701689688","volume":"47","author":[{"family":"Vereeck","given":"Luc"},{"family":"Wuyts","given":"Floris"},{"family":"Truijen","given":"Steven"},{"family":"Van de Heyning","given":"Paul"}],"accessed":{"date-parts":[["2014",1,23]]},"issued":{"date-parts":[["2008",1]]}}}],"schema":"https://github.com/citation-style-language/schema/raw/master/csl-citation.json"} </w:instrText>
            </w:r>
            <w:r w:rsidRPr="00B864CD">
              <w:rPr>
                <w:color w:val="000000" w:themeColor="text1"/>
              </w:rPr>
              <w:fldChar w:fldCharType="separate"/>
            </w:r>
            <w:r w:rsidRPr="00B864CD">
              <w:rPr>
                <w:color w:val="000000" w:themeColor="text1"/>
              </w:rPr>
              <w:t>(Bohannon et al., 1984; Springer et al., 2007; Vereeck et al., 2008)</w:t>
            </w:r>
            <w:r w:rsidRPr="00B864CD">
              <w:rPr>
                <w:color w:val="000000" w:themeColor="text1"/>
              </w:rPr>
              <w:fldChar w:fldCharType="end"/>
            </w:r>
            <w:r w:rsidRPr="00B864CD">
              <w:rPr>
                <w:color w:val="000000" w:themeColor="text1"/>
              </w:rPr>
              <w:t>.</w:t>
            </w:r>
          </w:p>
        </w:tc>
      </w:tr>
      <w:tr w:rsidR="00E856AA" w:rsidRPr="00B864CD" w14:paraId="114B8696" w14:textId="77777777" w:rsidTr="009222DD">
        <w:tc>
          <w:tcPr>
            <w:tcW w:w="1435" w:type="dxa"/>
          </w:tcPr>
          <w:p w14:paraId="0589012D" w14:textId="77777777" w:rsidR="00E856AA" w:rsidRPr="00B864CD" w:rsidRDefault="00E856AA" w:rsidP="009222DD">
            <w:pPr>
              <w:rPr>
                <w:color w:val="000000" w:themeColor="text1"/>
              </w:rPr>
            </w:pPr>
            <w:r w:rsidRPr="00B864CD">
              <w:rPr>
                <w:color w:val="000000" w:themeColor="text1"/>
              </w:rPr>
              <w:t>Gait Speed</w:t>
            </w:r>
          </w:p>
        </w:tc>
        <w:tc>
          <w:tcPr>
            <w:tcW w:w="7915" w:type="dxa"/>
          </w:tcPr>
          <w:p w14:paraId="73FECEAC" w14:textId="77777777" w:rsidR="00E856AA" w:rsidRPr="00B864CD" w:rsidRDefault="00E856AA" w:rsidP="009222DD">
            <w:pPr>
              <w:rPr>
                <w:color w:val="000000" w:themeColor="text1"/>
              </w:rPr>
            </w:pPr>
            <w:r w:rsidRPr="00B864CD">
              <w:rPr>
                <w:color w:val="000000" w:themeColor="text1"/>
              </w:rPr>
              <w:t xml:space="preserve">Gait speed (meters per second) was assessed with the 6-m-long GAITRite Electronic Walkway (CIR Systems, Inc) with 2-m acceleration and 2-m deceleration before and after the walkway, respectively. Gait speed was assessed under 3 walking conditions: usual gait speed (walk at normal pace from a standing start, measured as a mean of 2 walks) and 2 challenge paradigms, dual-task gait speed (walk at normal pace while reciting alternate letters of the alphabet out loud, starting with the letter “A,” measured as a mean of 2 walks) and maximum gait speed (walk as fast as safely possible, measured as a mean of 3 walks). We calculated the mean of the 3 individual walk conditions to generate our primary measure of composite gait speed </w:t>
            </w:r>
            <w:r w:rsidRPr="00B864CD">
              <w:rPr>
                <w:color w:val="000000" w:themeColor="text1"/>
              </w:rPr>
              <w:fldChar w:fldCharType="begin"/>
            </w:r>
            <w:r w:rsidRPr="00B864CD">
              <w:rPr>
                <w:color w:val="000000" w:themeColor="text1"/>
              </w:rPr>
              <w:instrText xml:space="preserve"> ADDIN ZOTERO_ITEM CSL_CITATION {"citationID":"JV44vbED","properties":{"formattedCitation":"(Rasmussen et al., 2019)","plainCitation":"(Rasmussen et al., 2019)","noteIndex":0},"citationItems":[{"id":18052,"uris":["http://zotero.org/users/1593913/items/EMKVK545"],"uri":["http://zotero.org/users/1593913/items/EMKVK545"],"itemData":{"id":18052,"type":"article-journal","abstract":"&lt;h3&gt;Importance&lt;/h3&gt;&lt;p&gt;Gait speed is a well-known indicator of risk of functional decline and mortality in older adults, but little is known about the factors associated with gait speed earlier in life.&lt;/p&gt;&lt;h3&gt;Objectives&lt;/h3&gt;&lt;p&gt;To test the hypothesis that slow gait speed reflects accelerated biological aging at midlife, as well as poor neurocognitive functioning in childhood and cognitive decline from childhood to midlife.&lt;/p&gt;&lt;h3&gt;Design, Setting, and Participants&lt;/h3&gt;&lt;p&gt;This cohort study uses data from the Dunedin Multidisciplinary Health and Development Study, a population-based study of a representative 1972 to 1973 birth cohort in New Zealand that observed participants to age 45 years (until April 2019). Data analysis was performed from April to June 2019.&lt;/p&gt;&lt;h3&gt;Exposures&lt;/h3&gt;&lt;p&gt;Childhood neurocognitive functions and accelerated aging, brain structure, and concurrent physical and cognitive functions in adulthood.&lt;/p&gt;&lt;h3&gt;Main Outcomes and Measures&lt;/h3&gt;&lt;p&gt;Gait speed at age 45 years, measured under 3 walking conditions: usual, dual task, and maximum gait speeds.&lt;/p&gt;&lt;h3&gt;Results&lt;/h3&gt;&lt;p&gt;Of the 1037 original participants (91% of eligible births; 535 [51.6%] male), 997 were alive at age 45 years, of whom 904 (90.7%) had gait speed measured (455 [50.3%] male; 93% white). The mean (SD) gait speeds were 1.30 (0.17) m/s for usual gait, 1.16 (0.23) m/s for dual task gait, and 1.99 (0.29) m/s for maximum gait. Adults with more physical limitations (standardized regression coefficient [β], −0.27; 95% CI, −0.34 to −0.21;&lt;i&gt;P&lt;/i&gt; &amp;lt; .001), poorer physical functions (ie, weak grip strength [β, 0.36; 95% CI, 0.25 to 0.46], poor balance [β, 0.28; 95% CI, 0.21 to 0.34], poor visual-motor coordination [β, 0.24; 95% CI, 0.17 to 0.30], and poor performance on the chair-stand [β, 0.34; 95% CI, 0.27 to 0.40] or 2-minute step tests [β, 0.33; 95% CI, 0.27 to 0.39]; all&lt;i&gt;P&lt;/i&gt; &amp;lt; .001), accelerated biological aging across multiple organ systems (β, −0.33; 95% CI, −0.40 to −0.27;&lt;i&gt;P&lt;/i&gt; &amp;lt; .001), older facial appearance (β, −0.25; 95% CI, −0.31 to −0.18;&lt;i&gt;P&lt;/i&gt; &amp;lt; .001), smaller brain volume (β, 0.15; 95% CI, 0.06 to 0.23;&lt;i&gt;P&lt;/i&gt; &amp;lt; .001), more cortical thinning (β, 0.09; 95% CI, 0.02 to 0.16;&lt;i&gt;P&lt;/i&gt; = .01), smaller cortical surface area (β, 0.13; 95% CI, 0.04 to 0.21;&lt;i&gt;P&lt;/i&gt; = .003), and more white matter hyperintensities (β, −0.09; 95% CI, −0.15 to −0.02;&lt;i&gt;P&lt;/i&gt; = .01) had slower gait speed. Participants with lower IQ in midlife (β, 0.38; 95% CI, 0.32 to 0.44;&lt;i&gt;P&lt;/i&gt; &amp;lt; .001) and participants who exhibited cognitive decline from childhood to adulthood (β, 0.10; 95% CI, 0.04 to 0.17;&lt;i&gt;P&lt;/i&gt; &amp;lt; .001) had slower gait at age 45 years. Those with poor neurocognitive functioning as early as age 3 years had slower gait in midlife (β, 0.26; 95% CI, 0.20 to 0.32;&lt;i&gt;P&lt;/i&gt; &amp;lt; .001).&lt;/p&gt;&lt;h3&gt;Conclusions and Relevance&lt;/h3&gt;&lt;p&gt;Adults’ gait speed is associated with more than geriatric functional status; it is also associated with midlife aging and lifelong brain health.&lt;/p&gt;","container-title":"JAMA Network Open","DOI":"10.1001/jamanetworkopen.2019.13123","issue":"10","journalAbbreviation":"JAMA Netw Open","language":"en","page":"e1913123-e1913123","source":"jamanetwork.com","title":"Association of Neurocognitive and Physical Function With Gait Speed in Midlife","URL":"https://jamanetwork.com/journals/jamanetworkopen/fullarticle/2752818","volume":"2","author":[{"family":"Rasmussen","given":"Line Jee Hartmann"},{"family":"Caspi","given":"Avshalom"},{"family":"Ambler","given":"Antony"},{"family":"Broadbent","given":"Jonathan M."},{"family":"Cohen","given":"Harvey J."},{"family":"Arbeloff","given":"Tracy","non-dropping-particle":"d’"},{"family":"Elliott","given":"Maxwell"},{"family":"Hancox","given":"Robert J."},{"family":"Harrington","given":"HonaLee"},{"family":"Hogan","given":"Sean"},{"family":"Houts","given":"Renate"},{"family":"Ireland","given":"David"},{"family":"Knodt","given":"Annchen R."},{"family":"Meredith-Jones","given":"Kim"},{"family":"Morey","given":"Miriam C."},{"family":"Morrison","given":"Lynda"},{"family":"Poulton","given":"Richie"},{"family":"Ramrakha","given":"Sandhya"},{"family":"Richmond-Rakerd","given":"Leah"},{"family":"Sison","given":"Maria L."},{"family":"Sneddon","given":"Kate"},{"family":"Thomson","given":"W. Murray"},{"family":"Hariri","given":"Ahmad R."},{"family":"Moffitt","given":"Terrie E."}],"accessed":{"date-parts":[["2019",11,5]]},"issued":{"date-parts":[["2019",10,2]]}}}],"schema":"https://github.com/citation-style-language/schema/raw/master/csl-citation.json"} </w:instrText>
            </w:r>
            <w:r w:rsidRPr="00B864CD">
              <w:rPr>
                <w:color w:val="000000" w:themeColor="text1"/>
              </w:rPr>
              <w:fldChar w:fldCharType="separate"/>
            </w:r>
            <w:r w:rsidRPr="00B864CD">
              <w:rPr>
                <w:noProof/>
                <w:color w:val="000000" w:themeColor="text1"/>
              </w:rPr>
              <w:t>(Rasmussen et al., 2019)</w:t>
            </w:r>
            <w:r w:rsidRPr="00B864CD">
              <w:rPr>
                <w:color w:val="000000" w:themeColor="text1"/>
              </w:rPr>
              <w:fldChar w:fldCharType="end"/>
            </w:r>
            <w:r w:rsidRPr="00B864CD">
              <w:rPr>
                <w:color w:val="000000" w:themeColor="text1"/>
              </w:rPr>
              <w:t>.</w:t>
            </w:r>
          </w:p>
        </w:tc>
      </w:tr>
      <w:tr w:rsidR="00E856AA" w:rsidRPr="00B864CD" w14:paraId="57305F38" w14:textId="77777777" w:rsidTr="009222DD">
        <w:tc>
          <w:tcPr>
            <w:tcW w:w="1435" w:type="dxa"/>
          </w:tcPr>
          <w:p w14:paraId="1976E3C3" w14:textId="77777777" w:rsidR="00E856AA" w:rsidRPr="00B864CD" w:rsidRDefault="00E856AA" w:rsidP="009222DD">
            <w:pPr>
              <w:rPr>
                <w:color w:val="000000" w:themeColor="text1"/>
              </w:rPr>
            </w:pPr>
            <w:r w:rsidRPr="00B864CD">
              <w:rPr>
                <w:color w:val="000000" w:themeColor="text1"/>
              </w:rPr>
              <w:t>Steps in Place</w:t>
            </w:r>
          </w:p>
        </w:tc>
        <w:tc>
          <w:tcPr>
            <w:tcW w:w="7915" w:type="dxa"/>
          </w:tcPr>
          <w:p w14:paraId="010C7D52" w14:textId="77777777" w:rsidR="00E856AA" w:rsidRPr="00B864CD" w:rsidRDefault="00E856AA" w:rsidP="009222DD">
            <w:pPr>
              <w:rPr>
                <w:color w:val="000000" w:themeColor="text1"/>
              </w:rPr>
            </w:pPr>
            <w:r w:rsidRPr="00B864CD">
              <w:rPr>
                <w:color w:val="000000" w:themeColor="text1"/>
              </w:rPr>
              <w:t xml:space="preserve">The 2-min step test was measured as the number of times a participant lifted their right knee to mid-thigh height (measured as the height half-way between the knee cap and the iliac crest) in 2 minutes at a self-directed pace </w:t>
            </w:r>
            <w:r w:rsidRPr="00B864CD">
              <w:rPr>
                <w:color w:val="000000" w:themeColor="text1"/>
              </w:rPr>
              <w:fldChar w:fldCharType="begin"/>
            </w:r>
            <w:r w:rsidRPr="00B864CD">
              <w:rPr>
                <w:color w:val="000000" w:themeColor="text1"/>
              </w:rPr>
              <w:instrText xml:space="preserve"> ADDIN ZOTERO_ITEM CSL_CITATION {"citationID":"MjgMGSid","properties":{"formattedCitation":"(Jones and Rikli, 2002; Rikli and Jones, 1999)","plainCitation":"(Jones and Rikli, 2002; Rikli and Jones, 1999)","noteIndex":0},"citationItems":[{"id":18055,"uris":["http://zotero.org/users/1593913/items/IAQ4FEAV"],"uri":["http://zotero.org/users/1593913/items/IAQ4FEAV"],"itemData":{"id":18055,"type":"article-journal","container-title":"The Journal on active aging","journalAbbreviation":"The Journal on active aging","page":"24-30","title":"Measuring functional fitness in older adults","volume":"1","author":[{"family":"Jones","given":"C Jessie"},{"family":"Rikli","given":"Roberta E"}],"issued":{"date-parts":[["2002"]]}}},{"id":18056,"uris":["http://zotero.org/users/1593913/items/8DF2SNFR"],"uri":["http://zotero.org/users/1593913/items/8DF2SNFR"],"itemData":{"id":18056,"type":"article-journal","container-title":"Journal of aging and physical activity","ISSN":"1063-8652","journalAbbreviation":"Journal of aging and physical activity","page":"162-181","title":"Functional fitness normative scores for community-residing older adults, ages 60-94","volume":"7","author":[{"family":"Rikli","given":"Roberta E"},{"family":"Jones","given":"C Jessie"}],"issued":{"date-parts":[["1999"]]}}}],"schema":"https://github.com/citation-style-language/schema/raw/master/csl-citation.json"} </w:instrText>
            </w:r>
            <w:r w:rsidRPr="00B864CD">
              <w:rPr>
                <w:color w:val="000000" w:themeColor="text1"/>
              </w:rPr>
              <w:fldChar w:fldCharType="separate"/>
            </w:r>
            <w:r w:rsidRPr="00B864CD">
              <w:rPr>
                <w:noProof/>
                <w:color w:val="000000" w:themeColor="text1"/>
              </w:rPr>
              <w:t>(Jones and Rikli, 2002; Rikli and Jones, 1999)</w:t>
            </w:r>
            <w:r w:rsidRPr="00B864CD">
              <w:rPr>
                <w:color w:val="000000" w:themeColor="text1"/>
              </w:rPr>
              <w:fldChar w:fldCharType="end"/>
            </w:r>
            <w:r w:rsidRPr="00B864CD">
              <w:rPr>
                <w:color w:val="000000" w:themeColor="text1"/>
              </w:rPr>
              <w:t>.</w:t>
            </w:r>
          </w:p>
        </w:tc>
      </w:tr>
      <w:tr w:rsidR="00E856AA" w:rsidRPr="00B864CD" w14:paraId="1FC2B415" w14:textId="77777777" w:rsidTr="009222DD">
        <w:tc>
          <w:tcPr>
            <w:tcW w:w="1435" w:type="dxa"/>
          </w:tcPr>
          <w:p w14:paraId="75C1DC88" w14:textId="77777777" w:rsidR="00E856AA" w:rsidRPr="00B864CD" w:rsidRDefault="00E856AA" w:rsidP="009222DD">
            <w:pPr>
              <w:rPr>
                <w:color w:val="000000" w:themeColor="text1"/>
              </w:rPr>
            </w:pPr>
            <w:r w:rsidRPr="00B864CD">
              <w:rPr>
                <w:color w:val="000000" w:themeColor="text1"/>
              </w:rPr>
              <w:t>Chair Stands</w:t>
            </w:r>
          </w:p>
        </w:tc>
        <w:tc>
          <w:tcPr>
            <w:tcW w:w="7915" w:type="dxa"/>
          </w:tcPr>
          <w:p w14:paraId="29363602" w14:textId="77777777" w:rsidR="00E856AA" w:rsidRPr="00B864CD" w:rsidRDefault="00E856AA" w:rsidP="009222DD">
            <w:pPr>
              <w:rPr>
                <w:color w:val="000000" w:themeColor="text1"/>
              </w:rPr>
            </w:pPr>
            <w:r w:rsidRPr="00B864CD">
              <w:rPr>
                <w:color w:val="000000" w:themeColor="text1"/>
              </w:rPr>
              <w:t xml:space="preserve">Chair rises were measured as the number of stands a participant completed in 30 seconds from a seated position </w:t>
            </w:r>
            <w:r w:rsidRPr="00B864CD">
              <w:rPr>
                <w:color w:val="000000" w:themeColor="text1"/>
              </w:rPr>
              <w:fldChar w:fldCharType="begin"/>
            </w:r>
            <w:r w:rsidRPr="00B864CD">
              <w:rPr>
                <w:color w:val="000000" w:themeColor="text1"/>
              </w:rPr>
              <w:instrText xml:space="preserve"> ADDIN ZOTERO_ITEM CSL_CITATION {"citationID":"Xd8XuMvw","properties":{"formattedCitation":"(Jones et al., 1999; Jones and Rikli, 2002)","plainCitation":"(Jones et al., 1999; Jones and Rikli, 2002)","noteIndex":0},"citationItems":[{"id":18055,"uris":["http://zotero.org/users/1593913/items/IAQ4FEAV"],"uri":["http://zotero.org/users/1593913/items/IAQ4FEAV"],"itemData":{"id":18055,"type":"article-journal","container-title":"The Journal on active aging","journalAbbreviation":"The Journal on active aging","page":"24-30","title":"Measuring functional fitness in older adults","volume":"1","author":[{"family":"Jones","given":"C Jessie"},{"family":"Rikli","given":"Roberta E"}],"issued":{"date-parts":[["2002"]]}}},{"id":18057,"uris":["http://zotero.org/users/1593913/items/VYAFP34H"],"uri":["http://zotero.org/users/1593913/items/VYAFP34H"],"itemData":{"id":18057,"type":"article-journal","container-title":"Research quarterly for exercise and sport","ISSN":"0270-1367","issue":"2","journalAbbreviation":"Research quarterly for exercise and sport","page":"113-119","title":"A 30-s chair-stand test as a measure of lower body strength in community-residing older adults","volume":"70","author":[{"family":"Jones","given":"C Jessie"},{"family":"Rikli","given":"Roberta E"},{"family":"Beam","given":"William C"}],"issued":{"date-parts":[["1999"]]}}}],"schema":"https://github.com/citation-style-language/schema/raw/master/csl-citation.json"} </w:instrText>
            </w:r>
            <w:r w:rsidRPr="00B864CD">
              <w:rPr>
                <w:color w:val="000000" w:themeColor="text1"/>
              </w:rPr>
              <w:fldChar w:fldCharType="separate"/>
            </w:r>
            <w:r w:rsidRPr="00B864CD">
              <w:rPr>
                <w:noProof/>
                <w:color w:val="000000" w:themeColor="text1"/>
              </w:rPr>
              <w:t>(Jones et al., 1999; Jones and Rikli, 2002)</w:t>
            </w:r>
            <w:r w:rsidRPr="00B864CD">
              <w:rPr>
                <w:color w:val="000000" w:themeColor="text1"/>
              </w:rPr>
              <w:fldChar w:fldCharType="end"/>
            </w:r>
            <w:r w:rsidRPr="00B864CD">
              <w:rPr>
                <w:color w:val="000000" w:themeColor="text1"/>
              </w:rPr>
              <w:t>.</w:t>
            </w:r>
          </w:p>
        </w:tc>
      </w:tr>
      <w:tr w:rsidR="00E856AA" w:rsidRPr="00B864CD" w14:paraId="187A6DD4" w14:textId="77777777" w:rsidTr="009222DD">
        <w:tc>
          <w:tcPr>
            <w:tcW w:w="1435" w:type="dxa"/>
          </w:tcPr>
          <w:p w14:paraId="0B835CCE" w14:textId="77777777" w:rsidR="00E856AA" w:rsidRPr="00B864CD" w:rsidRDefault="00E856AA" w:rsidP="009222DD">
            <w:pPr>
              <w:rPr>
                <w:color w:val="000000" w:themeColor="text1"/>
              </w:rPr>
            </w:pPr>
            <w:r w:rsidRPr="00B864CD">
              <w:rPr>
                <w:color w:val="000000" w:themeColor="text1"/>
              </w:rPr>
              <w:t>Grip Strength</w:t>
            </w:r>
          </w:p>
        </w:tc>
        <w:tc>
          <w:tcPr>
            <w:tcW w:w="7915" w:type="dxa"/>
          </w:tcPr>
          <w:p w14:paraId="498BEFC6" w14:textId="77777777" w:rsidR="00E856AA" w:rsidRPr="00B864CD" w:rsidRDefault="00E856AA" w:rsidP="009222DD">
            <w:pPr>
              <w:rPr>
                <w:color w:val="000000" w:themeColor="text1"/>
              </w:rPr>
            </w:pPr>
            <w:r w:rsidRPr="00B864CD">
              <w:rPr>
                <w:color w:val="000000" w:themeColor="text1"/>
              </w:rPr>
              <w:t xml:space="preserve">Handgrip strength was measured for the dominant hand (elbow held at 90°, upper arm held tight against the trunk) as the maximum value achieved across three trials using a Jamar digital dynamometer </w:t>
            </w:r>
            <w:r w:rsidRPr="00B864CD">
              <w:rPr>
                <w:color w:val="000000" w:themeColor="text1"/>
              </w:rPr>
              <w:fldChar w:fldCharType="begin"/>
            </w:r>
            <w:r w:rsidRPr="00B864CD">
              <w:rPr>
                <w:color w:val="000000" w:themeColor="text1"/>
              </w:rPr>
              <w:instrText xml:space="preserve"> ADDIN ZOTERO_ITEM CSL_CITATION {"citationID":"1v57uqe24o","properties":{"formattedCitation":"(Mathiowetz et al., 1985; Rantanen T et al., 1999)","plainCitation":"(Mathiowetz et al., 1985; Rantanen T et al., 1999)","noteIndex":0},"citationItems":[{"id":5781,"uris":["http://zotero.org/users/1593913/items/IP4MT3Z7"],"uri":["http://zotero.org/users/1593913/items/IP4MT3Z7"],"itemData":{"id":5781,"type":"article-journal","abstract":"Context Poor muscle strength, functional limitations, and\ndisability often coexist, but whether muscle strength during midlife\npredicts old age functional ability is not known.Objective To determine whether hand grip strength measured during\nmidlife predicts old age functional limitations and disability in\ninitially healthy men.Design and Setting A 25-year prospective cohort study, the\nHonolulu Heart Program, which began in 1965 among Japanese-American men\nliving on Oahu, Hawaii.Participants A total of 6089 45- to 68-year-old men who\nwere healthy at baseline and whose maximal hand grip strength was\nmeasured from 1965 through 1970. Altogether, 2259 men died over the\nfollow-up period and 3218 survivors participated in the disability\nassessment in 1991 through 1993.Main Outcome Measures Functional limitations including slow\ncustomary walking speed (≤0.4 m/s) and inability to rise from a seated\nposition without using the arms, and multiple self-reported upper\nextremity, mobility, and self-care disability outcomes.Results After adjustment for multiple potential confounders, risk\nof functional limitations and disability 25 years later increased as\nbaseline hand grip strength, divided into tertiles, declined. The odds\nratio (OR) of walking speed of 0.4 m/s or slower was 2.87 (95%\nconfidence interval [CI], 1.76-4.67) in those in the lowest third and\n1.79 (95% CI, 1.14-2.81) in the middle third of grip strength vs those\nin the highest third. The risk of self-care disability was more than 2\ntimes greater in the lowest vs the highest grip strength tertile.\nAdding chronic conditions identified at follow-up to the models\npredicting disability reduced the ORs related to grip strength only\nminimally.Conclusions Among healthy 45- to 68-year-old men, hand grip\nstrength was highly predictive of functional limitations and disability\n25 years later. Good muscle strength in midlife may protect people from\nold age disability by providing a greater safety margin above the\nthreshold of disability.","container-title":"JAMA","DOI":"10.1001/jama.281.6.558","ISSN":"0098-7484","issue":"6","journalAbbreviation":"JAMA","page":"558-560","source":"Silverchair","title":"MIdlife hand grip strength as a predictor of old age disability","URL":"http://dx.doi.org/10.1001/jama.281.6.558","volume":"281","author":[{"literal":"Rantanen T"},{"literal":"Guralnik JM"},{"literal":"Foley D"},{"literal":"et al"}],"accessed":{"date-parts":[["2014",1,23]]},"issued":{"date-parts":[["1999",2,10]]}}},{"id":6078,"uris":["http://zotero.org/users/1593913/items/4CJIVDNI"],"uri":["http://zotero.org/users/1593913/items/4CJIVDNI"],"itemData":{"id":6078,"type":"article-journal","abstract":"The primary purpose of this study was to establish clinical norms for adults aged 20 to 75+ years on four tests of hand strength. A dynamometer was used to measure grip strength and a pinch gauge to measure tip, key, and palmar pinch. A sample of 310 male and 328 female adults, ages 20 to 94, from the seven-county Milwaukee area were tested using standardized positioning and instructions. Right hand and left hand data were stratified into 12 age groups for both sexes. This stratification provides a means of comparing the score of individual patients to that of normal subjects of the same age and sex. The highest grip strength scores occurred in the 25 to 39 age groups. For tip, key, and palmar pinch the average scores were relatively stable from 20 to 59 years, with a gradual decline from 60 to 79 years. A high correlation was seen between grip strength and age, but a low to moderate correlation between pinch strength and age. The newer pinch gauge used in this study appears to read higher than that used in a previous normative study. Comparison of the average hand strength of right-handed and left-handed subjects showed only minimal differences.","container-title":"Archives of physical medicine and rehabilitation","ISSN":"0003-9993","issue":"2","journalAbbreviation":"Arch Phys Med Rehabil","language":"eng","note":"PMID: 3970660","page":"69-74","source":"NCBI PubMed","title":"Grip and pinch strength: normative data for adults","title-short":"Grip and pinch strength","volume":"66","author":[{"family":"Mathiowetz","given":"V"},{"family":"Kashman","given":"N"},{"family":"Volland","given":"G"},{"family":"Weber","given":"K"},{"family":"Dowe","given":"M"},{"family":"Rogers","given":"S"}],"issued":{"date-parts":[["1985",2]]}}}],"schema":"https://github.com/citation-style-language/schema/raw/master/csl-citation.json"} </w:instrText>
            </w:r>
            <w:r w:rsidRPr="00B864CD">
              <w:rPr>
                <w:color w:val="000000" w:themeColor="text1"/>
              </w:rPr>
              <w:fldChar w:fldCharType="separate"/>
            </w:r>
            <w:r w:rsidRPr="00B864CD">
              <w:rPr>
                <w:color w:val="000000" w:themeColor="text1"/>
              </w:rPr>
              <w:t>(Mathiowetz et al., 1985; Rantanen T et al., 1999)</w:t>
            </w:r>
            <w:r w:rsidRPr="00B864CD">
              <w:rPr>
                <w:color w:val="000000" w:themeColor="text1"/>
              </w:rPr>
              <w:fldChar w:fldCharType="end"/>
            </w:r>
            <w:r w:rsidRPr="00B864CD">
              <w:rPr>
                <w:color w:val="000000" w:themeColor="text1"/>
              </w:rPr>
              <w:t>.</w:t>
            </w:r>
          </w:p>
        </w:tc>
      </w:tr>
      <w:tr w:rsidR="00E856AA" w:rsidRPr="00B864CD" w14:paraId="6B0DE86C" w14:textId="77777777" w:rsidTr="009222DD">
        <w:tc>
          <w:tcPr>
            <w:tcW w:w="1435" w:type="dxa"/>
          </w:tcPr>
          <w:p w14:paraId="2BD40AE6" w14:textId="77777777" w:rsidR="00E856AA" w:rsidRPr="00B864CD" w:rsidRDefault="00E856AA" w:rsidP="009222DD">
            <w:pPr>
              <w:rPr>
                <w:color w:val="000000" w:themeColor="text1"/>
              </w:rPr>
            </w:pPr>
            <w:r w:rsidRPr="00B864CD">
              <w:rPr>
                <w:color w:val="000000" w:themeColor="text1"/>
              </w:rPr>
              <w:t>Motor Coordination</w:t>
            </w:r>
          </w:p>
        </w:tc>
        <w:tc>
          <w:tcPr>
            <w:tcW w:w="7915" w:type="dxa"/>
          </w:tcPr>
          <w:p w14:paraId="00B2EBD5" w14:textId="77777777" w:rsidR="00E856AA" w:rsidRPr="00B864CD" w:rsidRDefault="00E856AA" w:rsidP="009222DD">
            <w:pPr>
              <w:rPr>
                <w:color w:val="000000" w:themeColor="text1"/>
              </w:rPr>
            </w:pPr>
            <w:r w:rsidRPr="00B864CD">
              <w:rPr>
                <w:color w:val="000000" w:themeColor="text1"/>
              </w:rPr>
              <w:t>At ages 38 and 45, we measured motor functioning as the time to completion of the Grooved Pegboard Test with the dominant hand.</w:t>
            </w:r>
          </w:p>
        </w:tc>
      </w:tr>
      <w:tr w:rsidR="00E856AA" w:rsidRPr="00B864CD" w14:paraId="2DC05AF9" w14:textId="77777777" w:rsidTr="009222DD">
        <w:tc>
          <w:tcPr>
            <w:tcW w:w="1435" w:type="dxa"/>
          </w:tcPr>
          <w:p w14:paraId="0F9A7139" w14:textId="77777777" w:rsidR="00E856AA" w:rsidRPr="00B864CD" w:rsidRDefault="00E856AA" w:rsidP="009222DD">
            <w:pPr>
              <w:rPr>
                <w:color w:val="000000" w:themeColor="text1"/>
              </w:rPr>
            </w:pPr>
            <w:r w:rsidRPr="00B864CD">
              <w:rPr>
                <w:color w:val="000000" w:themeColor="text1"/>
              </w:rPr>
              <w:t>Physical Limitations</w:t>
            </w:r>
          </w:p>
        </w:tc>
        <w:tc>
          <w:tcPr>
            <w:tcW w:w="7915" w:type="dxa"/>
          </w:tcPr>
          <w:p w14:paraId="32F64BA2" w14:textId="77777777" w:rsidR="00E856AA" w:rsidRPr="00B864CD" w:rsidRDefault="00E856AA" w:rsidP="009222DD">
            <w:pPr>
              <w:rPr>
                <w:color w:val="000000" w:themeColor="text1"/>
              </w:rPr>
            </w:pPr>
            <w:r w:rsidRPr="00B864CD">
              <w:rPr>
                <w:color w:val="000000" w:themeColor="text1"/>
              </w:rPr>
              <w:t xml:space="preserve">Physical limitations were measured with the 10-item RAND 36-Item Health Survey 1.0 physical functioning scale </w:t>
            </w:r>
            <w:r w:rsidRPr="00B864CD">
              <w:rPr>
                <w:color w:val="000000" w:themeColor="text1"/>
              </w:rPr>
              <w:fldChar w:fldCharType="begin"/>
            </w:r>
            <w:r w:rsidRPr="00B864CD">
              <w:rPr>
                <w:color w:val="000000" w:themeColor="text1"/>
              </w:rPr>
              <w:instrText xml:space="preserve"> ADDIN ZOTERO_ITEM CSL_CITATION {"citationID":"1nhb10sto","properties":{"formattedCitation":"(Ware and Sherbourne, 1992)","plainCitation":"(Ware and Sherbourne, 1992)","noteIndex":0},"citationItems":[{"id":5784,"uris":["http://zotero.org/users/1593913/items/7Q3WJTXG"],"uri":["http://zotero.org/users/1593913/items/7Q3WJTXG"],"itemData":{"id":5784,"type":"article-journal","abstract":"A 36-item short-form (SF-36) was constructed to survey health status in the Medical Outcomes Study. The SF-36 was designed for use in clinical practice and research, health policy evaluations, and general population surveys. The SF-36 includes one multi-item scale that assesses eight health concepts: 1) limitations in physical activities because of health problems; 2) limitations in social activities because of physical or emotional problems; 3) limitations in usual role activities because of physical health problems; 4) bodily pain; 5) general mental health (psychological distress and well-being); 6) limitations in usual role activities because of emotional problems; 7) vitality (energy and fatigue); and 8) general health perceptions. The survey was constructed for self-administration by persons 14 years of age and older, and for administration by a trained interviewer in person or by telephone. The history of the development of the SF-36, the origin of specific items, and the logic underlying their selection are summarized. The content and features of the SF-36 are compared with the 20-item Medical Outcomes Study short-form.","container-title":"Medical Care","ISSN":"0025-7079","issue":"6","journalAbbreviation":"Medical Care","page":"473-483","source":"JSTOR","title":"The MOS 36-Item Short-Form Health Survey (SF-36): I. Conceptual Framework and Item Selection","title-short":"The MOS 36-Item Short-Form Health Survey (SF-36)","URL":"http://www.jstor.org/stable/3765916","volume":"30","author":[{"family":"Ware","given":"John E.","suffix":"Jr."},{"family":"Sherbourne","given":"Cathy Donald"}],"accessed":{"date-parts":[["2014",1,23]]},"issued":{"date-parts":[["1992",6,1]]}}}],"schema":"https://github.com/citation-style-language/schema/raw/master/csl-citation.json"} </w:instrText>
            </w:r>
            <w:r w:rsidRPr="00B864CD">
              <w:rPr>
                <w:color w:val="000000" w:themeColor="text1"/>
              </w:rPr>
              <w:fldChar w:fldCharType="separate"/>
            </w:r>
            <w:r w:rsidRPr="00B864CD">
              <w:rPr>
                <w:color w:val="000000" w:themeColor="text1"/>
              </w:rPr>
              <w:t>(Ware and Sherbourne, 1992)</w:t>
            </w:r>
            <w:r w:rsidRPr="00B864CD">
              <w:rPr>
                <w:color w:val="000000" w:themeColor="text1"/>
              </w:rPr>
              <w:fldChar w:fldCharType="end"/>
            </w:r>
            <w:r w:rsidRPr="00B864CD">
              <w:rPr>
                <w:color w:val="000000" w:themeColor="text1"/>
              </w:rPr>
              <w:t xml:space="preserve">. Participant responses (“limited a lot”, “limited a little”, “not limited at all”) assessed their difficulty with completing various activities, e.g., climbing several flights of stairs, walking more than 1 km, participating in strenuous sports, etc. Scores were reversed to reflect physical limitations so that a high score indicates more limitations. </w:t>
            </w:r>
          </w:p>
        </w:tc>
      </w:tr>
      <w:tr w:rsidR="00E856AA" w:rsidRPr="00B864CD" w14:paraId="60CCA548" w14:textId="77777777" w:rsidTr="009222DD">
        <w:tc>
          <w:tcPr>
            <w:tcW w:w="1435" w:type="dxa"/>
          </w:tcPr>
          <w:p w14:paraId="476EC31F" w14:textId="77777777" w:rsidR="00E856AA" w:rsidRPr="00B864CD" w:rsidRDefault="00E856AA" w:rsidP="009222DD">
            <w:pPr>
              <w:rPr>
                <w:color w:val="000000" w:themeColor="text1"/>
              </w:rPr>
            </w:pPr>
            <w:r w:rsidRPr="00B864CD">
              <w:rPr>
                <w:color w:val="000000" w:themeColor="text1"/>
              </w:rPr>
              <w:t>Decline in Physical Functioning</w:t>
            </w:r>
          </w:p>
        </w:tc>
        <w:tc>
          <w:tcPr>
            <w:tcW w:w="7915" w:type="dxa"/>
          </w:tcPr>
          <w:p w14:paraId="7F404CBB" w14:textId="77777777" w:rsidR="00E856AA" w:rsidRPr="00B864CD" w:rsidRDefault="00E856AA" w:rsidP="009222DD">
            <w:pPr>
              <w:rPr>
                <w:color w:val="000000" w:themeColor="text1"/>
              </w:rPr>
            </w:pPr>
            <w:r w:rsidRPr="00B864CD">
              <w:rPr>
                <w:color w:val="000000" w:themeColor="text1"/>
              </w:rPr>
              <w:t xml:space="preserve">Tests of balance and grip strength and interviews about physical limitations were completed at both the age-38 and age-45 Dunedin Study assessments. We measured decline across the 7-year measurement interval by subtracting the age-38 test score from the age-45 test score. </w:t>
            </w:r>
          </w:p>
        </w:tc>
      </w:tr>
      <w:tr w:rsidR="00E856AA" w:rsidRPr="00B864CD" w14:paraId="28E0F0A2" w14:textId="77777777" w:rsidTr="009222DD">
        <w:tc>
          <w:tcPr>
            <w:tcW w:w="9350" w:type="dxa"/>
            <w:gridSpan w:val="2"/>
          </w:tcPr>
          <w:p w14:paraId="25EDA508" w14:textId="77777777" w:rsidR="00E856AA" w:rsidRPr="00B864CD" w:rsidRDefault="00E856AA" w:rsidP="009222DD">
            <w:pPr>
              <w:rPr>
                <w:b/>
                <w:color w:val="000000" w:themeColor="text1"/>
              </w:rPr>
            </w:pPr>
            <w:r w:rsidRPr="00B864CD">
              <w:rPr>
                <w:b/>
                <w:color w:val="000000" w:themeColor="text1"/>
              </w:rPr>
              <w:t xml:space="preserve">Cognitive Functioning </w:t>
            </w:r>
            <w:r w:rsidRPr="00B864CD">
              <w:rPr>
                <w:color w:val="000000" w:themeColor="text1"/>
              </w:rPr>
              <w:t>(N=814 with DNAm data)</w:t>
            </w:r>
          </w:p>
        </w:tc>
      </w:tr>
      <w:tr w:rsidR="00E856AA" w:rsidRPr="00B864CD" w14:paraId="401194D9" w14:textId="77777777" w:rsidTr="009222DD">
        <w:tc>
          <w:tcPr>
            <w:tcW w:w="1435" w:type="dxa"/>
          </w:tcPr>
          <w:p w14:paraId="587C50B0" w14:textId="77777777" w:rsidR="00E856AA" w:rsidRPr="00B864CD" w:rsidRDefault="00E856AA" w:rsidP="009222DD">
            <w:pPr>
              <w:rPr>
                <w:color w:val="000000" w:themeColor="text1"/>
              </w:rPr>
            </w:pPr>
            <w:r w:rsidRPr="00B864CD">
              <w:rPr>
                <w:color w:val="000000" w:themeColor="text1"/>
              </w:rPr>
              <w:t>Cognitive Functioning</w:t>
            </w:r>
          </w:p>
        </w:tc>
        <w:tc>
          <w:tcPr>
            <w:tcW w:w="7915" w:type="dxa"/>
          </w:tcPr>
          <w:p w14:paraId="343067F9" w14:textId="77777777" w:rsidR="00E856AA" w:rsidRPr="00B864CD" w:rsidRDefault="00E856AA" w:rsidP="009222DD">
            <w:pPr>
              <w:rPr>
                <w:color w:val="000000" w:themeColor="text1"/>
              </w:rPr>
            </w:pPr>
            <w:r w:rsidRPr="00B864CD">
              <w:rPr>
                <w:color w:val="000000" w:themeColor="text1"/>
              </w:rPr>
              <w:t xml:space="preserve">The Wechsler Adult Intelligence Scale-IV (WAIS-IV) </w:t>
            </w:r>
            <w:r w:rsidRPr="00B864CD">
              <w:rPr>
                <w:color w:val="000000" w:themeColor="text1"/>
              </w:rPr>
              <w:fldChar w:fldCharType="begin"/>
            </w:r>
            <w:r w:rsidRPr="00B864CD">
              <w:rPr>
                <w:color w:val="000000" w:themeColor="text1"/>
              </w:rPr>
              <w:instrText xml:space="preserve"> ADDIN ZOTERO_ITEM CSL_CITATION {"citationID":"blfv7grcj","properties":{"formattedCitation":"(Wechsler, 2008)","plainCitation":"(Wechsler, 2008)","noteIndex":0},"citationItems":[{"id":3967,"uris":["http://zotero.org/users/1593913/items/HA7TBJHD"],"uri":["http://zotero.org/users/1593913/items/HA7TBJHD"],"itemData":{"id":3967,"type":"book","edition":"4th","event-place":"San Antonio, TX","publisher":"Pearson Assessment","publisher-place":"San Antonio, TX","title":"Wechsler Adult Intelligence Scale","title-short":"Wechsler Adult Intelligence Scale","author":[{"family":"Wechsler","given":"D"}],"issued":{"date-parts":[["2008"]]}}}],"schema":"https://github.com/citation-style-language/schema/raw/master/csl-citation.json"} </w:instrText>
            </w:r>
            <w:r w:rsidRPr="00B864CD">
              <w:rPr>
                <w:color w:val="000000" w:themeColor="text1"/>
              </w:rPr>
              <w:fldChar w:fldCharType="separate"/>
            </w:r>
            <w:r w:rsidRPr="00B864CD">
              <w:rPr>
                <w:color w:val="000000" w:themeColor="text1"/>
              </w:rPr>
              <w:t>(Wechsler, 2008)</w:t>
            </w:r>
            <w:r w:rsidRPr="00B864CD">
              <w:rPr>
                <w:color w:val="000000" w:themeColor="text1"/>
              </w:rPr>
              <w:fldChar w:fldCharType="end"/>
            </w:r>
            <w:r w:rsidRPr="00B864CD">
              <w:rPr>
                <w:color w:val="000000" w:themeColor="text1"/>
              </w:rPr>
              <w:t xml:space="preserve"> was administered to the participants at age 45 years, yielding the IQ. In addition to full scale IQ, the WAIS-IV measures four specific domains of cognitive </w:t>
            </w:r>
            <w:r w:rsidRPr="00B864CD">
              <w:rPr>
                <w:color w:val="000000" w:themeColor="text1"/>
              </w:rPr>
              <w:lastRenderedPageBreak/>
              <w:t>function: Processing Speed, Working Memory, Perceptual Reasoning, and Verbal Comprehension.</w:t>
            </w:r>
          </w:p>
        </w:tc>
      </w:tr>
      <w:tr w:rsidR="00E856AA" w:rsidRPr="00B864CD" w14:paraId="5D02A4F1" w14:textId="77777777" w:rsidTr="009222DD">
        <w:tc>
          <w:tcPr>
            <w:tcW w:w="1435" w:type="dxa"/>
          </w:tcPr>
          <w:p w14:paraId="7D88170E" w14:textId="77777777" w:rsidR="00E856AA" w:rsidRPr="00B864CD" w:rsidRDefault="00E856AA" w:rsidP="009222DD">
            <w:pPr>
              <w:rPr>
                <w:color w:val="000000" w:themeColor="text1"/>
              </w:rPr>
            </w:pPr>
            <w:r w:rsidRPr="00B864CD">
              <w:rPr>
                <w:color w:val="000000" w:themeColor="text1"/>
              </w:rPr>
              <w:lastRenderedPageBreak/>
              <w:t>Cognitive Decline</w:t>
            </w:r>
          </w:p>
        </w:tc>
        <w:tc>
          <w:tcPr>
            <w:tcW w:w="7915" w:type="dxa"/>
          </w:tcPr>
          <w:p w14:paraId="68E96633" w14:textId="77777777" w:rsidR="00E856AA" w:rsidRPr="00B864CD" w:rsidRDefault="00E856AA" w:rsidP="009222DD">
            <w:pPr>
              <w:rPr>
                <w:color w:val="000000" w:themeColor="text1"/>
              </w:rPr>
            </w:pPr>
            <w:r w:rsidRPr="00B864CD">
              <w:rPr>
                <w:color w:val="000000" w:themeColor="text1"/>
              </w:rPr>
              <w:t xml:space="preserve">IQ is a highly reliable measure of general intellectual functioning that captures overall ability across differentiable cognitive functions. We measured IQ from the individually administered Wechsler Intelligence Scale for Children-Revised (WISC-R; averaged across ages 7, 9, 11, and 13) </w:t>
            </w:r>
            <w:r w:rsidRPr="00B864CD">
              <w:rPr>
                <w:color w:val="000000" w:themeColor="text1"/>
              </w:rPr>
              <w:fldChar w:fldCharType="begin"/>
            </w:r>
            <w:r w:rsidRPr="00B864CD">
              <w:rPr>
                <w:color w:val="000000" w:themeColor="text1"/>
              </w:rPr>
              <w:instrText xml:space="preserve"> ADDIN ZOTERO_ITEM CSL_CITATION {"citationID":"aere7de2s","properties":{"formattedCitation":"(Wechsler, 2003)","plainCitation":"(Wechsler, 2003)","noteIndex":0},"citationItems":[{"id":1841,"uris":["http://zotero.org/users/1593913/items/F95W3BAN"],"uri":["http://zotero.org/users/1593913/items/F95W3BAN"],"itemData":{"id":1841,"type":"book","edition":"4th (UK Version)","event-place":"San Antonio, TX","publisher":"Harcourt Assessment","publisher-place":"San Antonio, TX","title":"Wechsler Intelligence Scale for Children","title-short":"Wechsler Intelligence Scale for Children","author":[{"family":"Wechsler","given":"D"}],"issued":{"date-parts":[["2003"]]}}}],"schema":"https://github.com/citation-style-language/schema/raw/master/csl-citation.json"} </w:instrText>
            </w:r>
            <w:r w:rsidRPr="00B864CD">
              <w:rPr>
                <w:color w:val="000000" w:themeColor="text1"/>
              </w:rPr>
              <w:fldChar w:fldCharType="separate"/>
            </w:r>
            <w:r w:rsidRPr="00B864CD">
              <w:rPr>
                <w:color w:val="000000" w:themeColor="text1"/>
              </w:rPr>
              <w:t>(Wechsler, 2003)</w:t>
            </w:r>
            <w:r w:rsidRPr="00B864CD">
              <w:rPr>
                <w:color w:val="000000" w:themeColor="text1"/>
              </w:rPr>
              <w:fldChar w:fldCharType="end"/>
            </w:r>
            <w:r w:rsidRPr="00B864CD">
              <w:rPr>
                <w:color w:val="000000" w:themeColor="text1"/>
              </w:rPr>
              <w:t xml:space="preserve"> and the Wechsler Adult Intelligence Scale-IV (WAIS-IV; age 45) </w:t>
            </w:r>
            <w:r w:rsidRPr="00B864CD">
              <w:rPr>
                <w:color w:val="000000" w:themeColor="text1"/>
              </w:rPr>
              <w:fldChar w:fldCharType="begin"/>
            </w:r>
            <w:r w:rsidRPr="00B864CD">
              <w:rPr>
                <w:color w:val="000000" w:themeColor="text1"/>
              </w:rPr>
              <w:instrText xml:space="preserve"> ADDIN ZOTERO_ITEM CSL_CITATION {"citationID":"fhoNHwCX","properties":{"formattedCitation":"(Wechsler, 2008)","plainCitation":"(Wechsler, 2008)","noteIndex":0},"citationItems":[{"id":3967,"uris":["http://zotero.org/users/1593913/items/HA7TBJHD"],"uri":["http://zotero.org/users/1593913/items/HA7TBJHD"],"itemData":{"id":3967,"type":"book","edition":"4th","event-place":"San Antonio, TX","publisher":"Pearson Assessment","publisher-place":"San Antonio, TX","title":"Wechsler Adult Intelligence Scale","title-short":"Wechsler Adult Intelligence Scale","author":[{"family":"Wechsler","given":"D"}],"issued":{"date-parts":[["2008"]]}}}],"schema":"https://github.com/citation-style-language/schema/raw/master/csl-citation.json"} </w:instrText>
            </w:r>
            <w:r w:rsidRPr="00B864CD">
              <w:rPr>
                <w:color w:val="000000" w:themeColor="text1"/>
              </w:rPr>
              <w:fldChar w:fldCharType="separate"/>
            </w:r>
            <w:r w:rsidRPr="00B864CD">
              <w:rPr>
                <w:color w:val="000000" w:themeColor="text1"/>
              </w:rPr>
              <w:t>(Wechsler, 2008)</w:t>
            </w:r>
            <w:r w:rsidRPr="00B864CD">
              <w:rPr>
                <w:color w:val="000000" w:themeColor="text1"/>
              </w:rPr>
              <w:fldChar w:fldCharType="end"/>
            </w:r>
            <w:r w:rsidRPr="00B864CD">
              <w:rPr>
                <w:color w:val="000000" w:themeColor="text1"/>
              </w:rPr>
              <w:t>. We measured IQ decline by comparing scores from the WISC-R and the WAIS-IV.</w:t>
            </w:r>
          </w:p>
        </w:tc>
      </w:tr>
      <w:tr w:rsidR="00E856AA" w:rsidRPr="00B864CD" w14:paraId="18CFD4D2" w14:textId="77777777" w:rsidTr="009222DD">
        <w:tc>
          <w:tcPr>
            <w:tcW w:w="9350" w:type="dxa"/>
            <w:gridSpan w:val="2"/>
          </w:tcPr>
          <w:p w14:paraId="497E9967" w14:textId="77777777" w:rsidR="00E856AA" w:rsidRPr="00B864CD" w:rsidRDefault="00E856AA" w:rsidP="009222DD">
            <w:pPr>
              <w:rPr>
                <w:b/>
                <w:color w:val="000000" w:themeColor="text1"/>
              </w:rPr>
            </w:pPr>
            <w:r w:rsidRPr="00B864CD">
              <w:rPr>
                <w:b/>
                <w:color w:val="000000" w:themeColor="text1"/>
              </w:rPr>
              <w:t xml:space="preserve">Subjective Signs of Aging </w:t>
            </w:r>
            <w:r w:rsidRPr="00B864CD">
              <w:rPr>
                <w:color w:val="000000" w:themeColor="text1"/>
              </w:rPr>
              <w:t>(N=817 with DNAm data)</w:t>
            </w:r>
          </w:p>
        </w:tc>
      </w:tr>
      <w:tr w:rsidR="00E856AA" w:rsidRPr="00B864CD" w14:paraId="60B6A96A" w14:textId="77777777" w:rsidTr="009222DD">
        <w:tc>
          <w:tcPr>
            <w:tcW w:w="1435" w:type="dxa"/>
          </w:tcPr>
          <w:p w14:paraId="78242BF1" w14:textId="77777777" w:rsidR="00E856AA" w:rsidRPr="00B864CD" w:rsidRDefault="00E856AA" w:rsidP="009222DD">
            <w:pPr>
              <w:rPr>
                <w:color w:val="000000" w:themeColor="text1"/>
              </w:rPr>
            </w:pPr>
            <w:r w:rsidRPr="00B864CD">
              <w:rPr>
                <w:color w:val="000000" w:themeColor="text1"/>
              </w:rPr>
              <w:t>Self-rated Health</w:t>
            </w:r>
          </w:p>
        </w:tc>
        <w:tc>
          <w:tcPr>
            <w:tcW w:w="7915" w:type="dxa"/>
          </w:tcPr>
          <w:p w14:paraId="1EB6AA79" w14:textId="77777777" w:rsidR="00E856AA" w:rsidRPr="00B864CD" w:rsidRDefault="00E856AA" w:rsidP="009222DD">
            <w:pPr>
              <w:rPr>
                <w:color w:val="000000" w:themeColor="text1"/>
              </w:rPr>
            </w:pPr>
            <w:r w:rsidRPr="00B864CD">
              <w:rPr>
                <w:color w:val="000000" w:themeColor="text1"/>
              </w:rPr>
              <w:t>Study members rated their health on a scale of 1-5 (poor, fair, good, very good, or excellent).</w:t>
            </w:r>
          </w:p>
        </w:tc>
      </w:tr>
      <w:tr w:rsidR="00E856AA" w:rsidRPr="00B864CD" w14:paraId="7C15196E" w14:textId="77777777" w:rsidTr="009222DD">
        <w:tc>
          <w:tcPr>
            <w:tcW w:w="1435" w:type="dxa"/>
          </w:tcPr>
          <w:p w14:paraId="5A8E2FF5" w14:textId="77777777" w:rsidR="00E856AA" w:rsidRPr="00B864CD" w:rsidRDefault="00E856AA" w:rsidP="009222DD">
            <w:pPr>
              <w:rPr>
                <w:color w:val="000000" w:themeColor="text1"/>
              </w:rPr>
            </w:pPr>
            <w:r w:rsidRPr="00B864CD">
              <w:rPr>
                <w:color w:val="000000" w:themeColor="text1"/>
              </w:rPr>
              <w:t>Facial Aging</w:t>
            </w:r>
          </w:p>
        </w:tc>
        <w:tc>
          <w:tcPr>
            <w:tcW w:w="7915" w:type="dxa"/>
          </w:tcPr>
          <w:p w14:paraId="1BD2ABCA" w14:textId="77777777" w:rsidR="00E856AA" w:rsidRPr="00B864CD" w:rsidRDefault="00E856AA" w:rsidP="009222DD">
            <w:pPr>
              <w:rPr>
                <w:b/>
                <w:color w:val="000000" w:themeColor="text1"/>
              </w:rPr>
            </w:pPr>
            <w:r w:rsidRPr="00B864CD">
              <w:rPr>
                <w:color w:val="000000" w:themeColor="text1"/>
              </w:rPr>
              <w:t xml:space="preserve">Facial Aging is the subjective perception of aged appearance based on a facial photograph and is proposed as a clinically-useful marker of mortality risk  </w:t>
            </w:r>
            <w:r w:rsidRPr="00B864CD">
              <w:rPr>
                <w:color w:val="000000" w:themeColor="text1"/>
              </w:rPr>
              <w:fldChar w:fldCharType="begin"/>
            </w:r>
            <w:r w:rsidRPr="00B864CD">
              <w:rPr>
                <w:color w:val="000000" w:themeColor="text1"/>
              </w:rPr>
              <w:instrText xml:space="preserve"> ADDIN ZOTERO_ITEM CSL_CITATION {"citationID":"bhgU76Df","properties":{"formattedCitation":"(Christensen et al., 2009)","plainCitation":"(Christensen et al., 2009)","noteIndex":0},"citationItems":[{"id":5785,"uris":["http://zotero.org/users/1593913/items/A9FS3ADN"],"uri":["http://zotero.org/users/1593913/items/A9FS3ADN"],"itemData":{"id":5785,"type":"article-journal","abstract":"Objective To determine whether perceived age correlates with survival and important age related phenotypes., Design Follow-up study, with survival of twins determined up to January 2008, by which time 675 (37%) had died., Setting Population based twin cohort in Denmark., Participants 20 nurses, 10 young men, and 11 older women (assessors); 1826 twins aged ≥70., Main outcome measures Assessors: perceived age of twins from photographs. Twins: physical and cognitive tests and molecular biomarker of ageing (leucocyte telomere length)., Results For all three groups of assessors, perceived age was significantly associated with survival, even after adjustment for chronological age, sex, and rearing environment. Perceived age was still significantly associated with survival after further adjustment for physical and cognitive functioning. The likelihood that the older looking twin of the pair died first increased with increasing discordance in perceived age within the twin pair—that is, the bigger the difference in perceived age within the pair, the more likely that the older looking twin died first. Twin analyses suggested that common genetic factors influence both perceived age and survival. Perceived age, controlled for chronological age and sex, also correlated significantly with physical and cognitive functioning as well as with leucocyte telomere length. , Conclusion Perceived age—which is widely used by clinicians as a general indication of a patient’s health—is a robust biomarker of ageing that predicts survival among those aged ≥70 and correlates with important functional and molecular ageing phenotypes.","container-title":"BMJ : British Medical Journal","DOI":"10.1136/bmj.b5262","ISSN":"0959-8138","journalAbbreviation":"BMJ","note":"PMID: 20008378\nPMCID: PMC2792675","source":"PubMed Central","title":"Perceived age as clinically useful biomarker of ageing: cohort study","title-short":"Perceived age as clinically useful biomarker of ageing","URL":"http://www.ncbi.nlm.nih.gov/pmc/articles/PMC2792675/","volume":"339","author":[{"family":"Christensen","given":"Kaare"},{"family":"Thinggaard","given":"Mikael"},{"family":"McGue","given":"Matt"},{"family":"Rexbye","given":"Helle"},{"family":"Hjelmborg","given":"Jacob v B"},{"family":"Aviv","given":"Abraham"},{"family":"Gunn","given":"David"},{"family":"Ouderaa","given":"Frans","non-dropping-particle":"van der"},{"family":"Vaupel","given":"James W"}],"accessed":{"date-parts":[["2014",1,23]]},"issued":{"date-parts":[["2009"]]}}}],"schema":"https://github.com/citation-style-language/schema/raw/master/csl-citation.json"} </w:instrText>
            </w:r>
            <w:r w:rsidRPr="00B864CD">
              <w:rPr>
                <w:color w:val="000000" w:themeColor="text1"/>
              </w:rPr>
              <w:fldChar w:fldCharType="separate"/>
            </w:r>
            <w:r w:rsidRPr="00B864CD">
              <w:rPr>
                <w:noProof/>
                <w:color w:val="000000" w:themeColor="text1"/>
              </w:rPr>
              <w:t>(Christensen et al., 2009)</w:t>
            </w:r>
            <w:r w:rsidRPr="00B864CD">
              <w:rPr>
                <w:color w:val="000000" w:themeColor="text1"/>
              </w:rPr>
              <w:fldChar w:fldCharType="end"/>
            </w:r>
            <w:r w:rsidRPr="00B864CD">
              <w:rPr>
                <w:color w:val="000000" w:themeColor="text1"/>
              </w:rPr>
              <w:t xml:space="preserve">. Facial Aging measurement in the Dunedin Study was based on ratings by an independent panel of 8 raters of each participant’s facial photograph </w:t>
            </w:r>
            <w:r w:rsidRPr="00B864CD">
              <w:rPr>
                <w:color w:val="000000" w:themeColor="text1"/>
              </w:rPr>
              <w:fldChar w:fldCharType="begin"/>
            </w:r>
            <w:r w:rsidRPr="00B864CD">
              <w:rPr>
                <w:color w:val="000000" w:themeColor="text1"/>
              </w:rPr>
              <w:instrText xml:space="preserve"> ADDIN ZOTERO_ITEM CSL_CITATION {"citationID":"FIWBZ6ev","properties":{"formattedCitation":"(Belsky et al., 2015; Shalev et al., 2014)","plainCitation":"(Belsky et al., 2015; Shalev et al., 2014)","noteIndex":0},"citationItems":[{"id":271,"uris":["http://zotero.org/users/1593913/items/K7V9I8VA"],"uri":["http://zotero.org/users/1593913/items/K7V9I8VA"],"itemData":{"id":271,"type":"article-journal","abstract":"Antiaging therapies show promise in model organism research. Translation to humans is needed to address the challenges of an aging global population. Interventions to slow human aging will need to be applied to still-young individuals. However, most human aging research examines older adults, many with chronic disease. As a result, little is known about aging in young humans. We studied aging in 954 young humans, the Dunedin Study birth cohort, tracking multiple biomarkers across three time points spanning their third and fourth decades of life. We developed and validated two methods by which aging can be measured in young adults, one cross-sectional and one longitudinal. Our longitudinal measure allows quantification of the pace of coordinated physiological deterioration across multiple organ systems (e.g., pulmonary, periodontal, cardiovascular, renal, hepatic, and immune function). We applied these methods to assess biological aging in young humans who had not yet developed age-related diseases. Young individuals of the same chronological age varied in their \"biological aging\" (declining integrity of multiple organ systems). Already, before midlife, individuals who were aging more rapidly were less physically able, showed cognitive decline and brain aging, self-reported worse health, and looked older. Measured biological aging in young adults can be used to identify causes of aging and evaluate rejuvenation therapies.","container-title":"Proceedings of the National Academy of Sciences of the United States of America","DOI":"10.1073/pnas.1506264112","ISSN":"1091-6490","issue":"30","journalAbbreviation":"Proc. Natl. Acad. Sci. U.S.A.","language":"eng","note":"PMID: 26150497\nPMCID: PMC4522793","page":"E4104-4110","source":"PubMed","title":"Quantification of biological aging in young adults","volume":"112","author":[{"family":"Belsky","given":"Daniel W."},{"family":"Caspi","given":"Avshalom"},{"family":"Houts","given":"Renate"},{"family":"Cohen","given":"Harvey J."},{"family":"Corcoran","given":"David L."},{"family":"Danese","given":"Andrea"},{"family":"Harrington","given":"HonaLee"},{"family":"Israel","given":"Salomon"},{"family":"Levine","given":"Morgan E."},{"family":"Schaefer","given":"Jonathan D."},{"family":"Sugden","given":"Karen"},{"family":"Williams","given":"Ben"},{"family":"Yashin","given":"Anatoli I."},{"family":"Poulton","given":"Richie"},{"family":"Moffitt","given":"Terrie E."}],"issued":{"date-parts":[["2015",7,28]]}}},{"id":6355,"uris":["http://zotero.org/users/1593913/items/EBJTFWFA"],"uri":["http://zotero.org/users/1593913/items/EBJTFWFA"],"itemData":{"id":6355,"type":"article-journal","abstract":"BACKGROUND: Perinatal complications predict increased risk for morbidity and early mortality. Evidence of perinatal programming of adult mortality raises the question of what mechanisms embed this long-term effect. We tested a hypothesis related to the theory of developmental origins of health and disease: that perinatal complications assessed at birth predict indicators of accelerated aging by midlife.\nMETHODS: Perinatal complications, including both maternal and neonatal complications, were assessed in the Dunedin Multidisciplinary Health and Development Study cohort (N = 1037), a 38-year, prospective longitudinal study of a representative birth cohort. Two aging indicators were assessed at age 38 years, objectively by leukocyte telomere length (TL) and subjectively by perceived facial age.\nRESULTS: Perinatal complications predicted both leukocyte TL (β = -0.101; 95% confidence interval, -0.169 to -0.033; P = .004) and perceived age (β = 0.097; 95% confidence interval, 0.029 to 0.165; P = .005) by midlife. We repeated analyses with controls for measures of family history and social risk that could predispose to perinatal complications and accelerated aging, and for measures of poor health taken in between birth and the age-38 follow-up. These covariates attenuated, but did not fully explain the associations observed between perinatal complications and aging indicators.\nCONCLUSIONS: Our findings provide support for early-life developmental programming by linking newborns' perinatal complications to accelerated aging at midlife. We observed indications of accelerated aging \"inside,\" as measured by leukocyte TL, an indicator of cellular aging, and \"outside,\" as measured by perceived age, an indicator of declining tissue integrity. A better understanding of mechanisms underlying perinatal programming of adult aging is needed.","container-title":"Pediatrics","DOI":"10.1542/peds.2014-1669","ISSN":"1098-4275","issue":"5","journalAbbreviation":"Pediatrics","language":"eng","note":"PMID: 25349321","page":"e1315-1323","source":"NCBI PubMed","title":"Perinatal complications and aging indicators by midlife","volume":"134","author":[{"family":"Shalev","given":"Idan"},{"family":"Caspi","given":"Avshalom"},{"family":"Ambler","given":"Antony"},{"family":"Belsky","given":"Daniel W."},{"family":"Chapple","given":"Simon"},{"family":"Cohen","given":"Harvey Jay"},{"family":"Israel","given":"Salomon"},{"family":"Poulton","given":"Richie"},{"family":"Ramrakha","given":"Sandhya"},{"family":"Rivera","given":"Christine D."},{"family":"Sugden","given":"Karen"},{"family":"Williams","given":"Benjamin"},{"family":"Wolke","given":"Dieter"},{"family":"Moffitt","given":"Terrie E."}],"issued":{"date-parts":[["2014",11]]}}}],"schema":"https://github.com/citation-style-language/schema/raw/master/csl-citation.json"} </w:instrText>
            </w:r>
            <w:r w:rsidRPr="00B864CD">
              <w:rPr>
                <w:color w:val="000000" w:themeColor="text1"/>
              </w:rPr>
              <w:fldChar w:fldCharType="separate"/>
            </w:r>
            <w:r w:rsidRPr="00B864CD">
              <w:rPr>
                <w:noProof/>
                <w:color w:val="000000" w:themeColor="text1"/>
              </w:rPr>
              <w:t>(Belsky et al., 2015; Shalev et al., 2014)</w:t>
            </w:r>
            <w:r w:rsidRPr="00B864CD">
              <w:rPr>
                <w:color w:val="000000" w:themeColor="text1"/>
              </w:rPr>
              <w:fldChar w:fldCharType="end"/>
            </w:r>
            <w:r w:rsidRPr="00B864CD">
              <w:rPr>
                <w:color w:val="000000" w:themeColor="text1"/>
              </w:rPr>
              <w:t>. Facial Aging was based on two measurements of perceived age. First, Age Range was assessed by an independent panel of 4 raters, who were presented with standardized (non-smiling) facial photographs of participants and were kept blind to their actual age. Raters used a Likert scale to categorize each participant into a 5-year age range (i.e., from 20-24 years old up to 70+ years old) (interrater reliability = .77). Scores for each participant were averaged across all raters. Second, Relative Age was assessed by a different panel of 4 raters, who were told that all photos were of people aged 45 years old. Raters then used a 7-item Likert scale to assign a “relative age” to each participant (1</w:t>
            </w:r>
            <w:proofErr w:type="gramStart"/>
            <w:r w:rsidRPr="00B864CD">
              <w:rPr>
                <w:color w:val="000000" w:themeColor="text1"/>
              </w:rPr>
              <w:t>=“</w:t>
            </w:r>
            <w:proofErr w:type="gramEnd"/>
            <w:r w:rsidRPr="00B864CD">
              <w:rPr>
                <w:color w:val="000000" w:themeColor="text1"/>
              </w:rPr>
              <w:t>young looking”, 7=“old looking”) (interrater reliability = .79). The measure of perceived age at 45 years, Facial Age, was derived by standardizing and averaging Age Range and Relative Age scores.</w:t>
            </w:r>
          </w:p>
        </w:tc>
      </w:tr>
      <w:tr w:rsidR="00E856AA" w:rsidRPr="00B864CD" w14:paraId="7CD40706" w14:textId="77777777" w:rsidTr="009222DD">
        <w:tc>
          <w:tcPr>
            <w:tcW w:w="1435" w:type="dxa"/>
          </w:tcPr>
          <w:p w14:paraId="507D81E1" w14:textId="77777777" w:rsidR="00E856AA" w:rsidRPr="00B864CD" w:rsidRDefault="00E856AA" w:rsidP="009222DD">
            <w:pPr>
              <w:rPr>
                <w:color w:val="000000" w:themeColor="text1"/>
              </w:rPr>
            </w:pPr>
            <w:r w:rsidRPr="00B864CD">
              <w:rPr>
                <w:color w:val="000000" w:themeColor="text1"/>
              </w:rPr>
              <w:t xml:space="preserve">Subjective Decline </w:t>
            </w:r>
          </w:p>
        </w:tc>
        <w:tc>
          <w:tcPr>
            <w:tcW w:w="7915" w:type="dxa"/>
          </w:tcPr>
          <w:p w14:paraId="79EC6462" w14:textId="77777777" w:rsidR="00E856AA" w:rsidRPr="00B864CD" w:rsidRDefault="00E856AA" w:rsidP="009222DD">
            <w:pPr>
              <w:rPr>
                <w:color w:val="000000" w:themeColor="text1"/>
              </w:rPr>
            </w:pPr>
            <w:r w:rsidRPr="00B864CD">
              <w:rPr>
                <w:color w:val="000000" w:themeColor="text1"/>
              </w:rPr>
              <w:t xml:space="preserve">Self-rated Health and Facial Aging were measured at both the age-38 and age-45 assessments. We measured decline in self-rated health as incident fair/poor health reported at the age-45 assessment. We measured acceleration in Facial Aging by computing the difference in Facial Aging Z-scores between the age-45 and age-38 assessments. </w:t>
            </w:r>
          </w:p>
        </w:tc>
      </w:tr>
    </w:tbl>
    <w:p w14:paraId="6D1E6218" w14:textId="77777777" w:rsidR="00E856AA" w:rsidRPr="00B864CD" w:rsidRDefault="00E856AA" w:rsidP="00E856AA">
      <w:pPr>
        <w:rPr>
          <w:b/>
          <w:bCs/>
          <w:color w:val="000000" w:themeColor="text1"/>
        </w:rPr>
      </w:pPr>
    </w:p>
    <w:p w14:paraId="41A628BB" w14:textId="77777777" w:rsidR="00E856AA" w:rsidRPr="00B864CD" w:rsidRDefault="00E856AA" w:rsidP="00E856AA">
      <w:pPr>
        <w:rPr>
          <w:b/>
          <w:bCs/>
          <w:color w:val="000000" w:themeColor="text1"/>
        </w:rPr>
      </w:pPr>
      <w:r w:rsidRPr="00B864CD">
        <w:rPr>
          <w:b/>
          <w:bCs/>
          <w:color w:val="000000" w:themeColor="text1"/>
        </w:rPr>
        <w:br w:type="page"/>
      </w:r>
    </w:p>
    <w:p w14:paraId="58FB3305" w14:textId="01C5D4A3" w:rsidR="00206F45" w:rsidRPr="00B864CD" w:rsidRDefault="008C6FBB" w:rsidP="00EB6EF4">
      <w:pPr>
        <w:tabs>
          <w:tab w:val="left" w:pos="2437"/>
        </w:tabs>
        <w:rPr>
          <w:color w:val="000000" w:themeColor="text1"/>
        </w:rPr>
      </w:pPr>
      <w:r w:rsidRPr="00B864CD">
        <w:rPr>
          <w:b/>
          <w:color w:val="000000" w:themeColor="text1"/>
        </w:rPr>
        <w:lastRenderedPageBreak/>
        <w:t xml:space="preserve">Supplementary </w:t>
      </w:r>
      <w:r>
        <w:rPr>
          <w:b/>
          <w:color w:val="000000" w:themeColor="text1"/>
        </w:rPr>
        <w:t>File 1</w:t>
      </w:r>
      <w:r w:rsidR="00FA3485">
        <w:rPr>
          <w:b/>
          <w:color w:val="000000" w:themeColor="text1"/>
        </w:rPr>
        <w:t>E</w:t>
      </w:r>
      <w:r w:rsidR="004F3451" w:rsidRPr="00B864CD">
        <w:rPr>
          <w:b/>
          <w:bCs/>
          <w:color w:val="000000" w:themeColor="text1"/>
        </w:rPr>
        <w:t xml:space="preserve">. Items included in Nagi, Katz, and Rosow-Breslau scales of limitations to Activities of Daily Living (ADLs). </w:t>
      </w:r>
    </w:p>
    <w:p w14:paraId="079BF548" w14:textId="77777777" w:rsidR="004F3451" w:rsidRPr="00B864CD" w:rsidRDefault="004F3451" w:rsidP="00EB6EF4">
      <w:pPr>
        <w:tabs>
          <w:tab w:val="left" w:pos="2437"/>
        </w:tabs>
        <w:rPr>
          <w:color w:val="000000" w:themeColor="text1"/>
        </w:rPr>
      </w:pPr>
    </w:p>
    <w:tbl>
      <w:tblPr>
        <w:tblW w:w="5060" w:type="dxa"/>
        <w:tblLook w:val="04A0" w:firstRow="1" w:lastRow="0" w:firstColumn="1" w:lastColumn="0" w:noHBand="0" w:noVBand="1"/>
      </w:tblPr>
      <w:tblGrid>
        <w:gridCol w:w="5060"/>
      </w:tblGrid>
      <w:tr w:rsidR="00726838" w:rsidRPr="00B864CD" w14:paraId="6A1C77B9" w14:textId="77777777" w:rsidTr="00726838">
        <w:trPr>
          <w:trHeight w:val="960"/>
        </w:trPr>
        <w:tc>
          <w:tcPr>
            <w:tcW w:w="50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6E9A25" w14:textId="10AB534A" w:rsidR="00726838" w:rsidRPr="00B864CD" w:rsidRDefault="00726838" w:rsidP="00726838">
            <w:pPr>
              <w:rPr>
                <w:rFonts w:ascii="Calibri" w:hAnsi="Calibri" w:cs="Calibri"/>
                <w:b/>
                <w:bCs/>
                <w:sz w:val="22"/>
                <w:szCs w:val="22"/>
              </w:rPr>
            </w:pPr>
            <w:r w:rsidRPr="00B864CD">
              <w:rPr>
                <w:rFonts w:ascii="Calibri" w:hAnsi="Calibri" w:cs="Calibri"/>
                <w:b/>
                <w:bCs/>
                <w:sz w:val="22"/>
                <w:szCs w:val="22"/>
              </w:rPr>
              <w:t xml:space="preserve">Nagi ADL Scale. </w:t>
            </w:r>
            <w:r w:rsidRPr="00B864CD">
              <w:rPr>
                <w:rFonts w:ascii="Calibri" w:hAnsi="Calibri" w:cs="Calibri"/>
                <w:sz w:val="22"/>
                <w:szCs w:val="22"/>
              </w:rPr>
              <w:t>Count of activities for which participants reported a lot of difficulty or inability to perform.</w:t>
            </w:r>
          </w:p>
        </w:tc>
      </w:tr>
      <w:tr w:rsidR="00726838" w:rsidRPr="00B864CD" w14:paraId="1E565711" w14:textId="77777777" w:rsidTr="00726838">
        <w:trPr>
          <w:trHeight w:val="320"/>
        </w:trPr>
        <w:tc>
          <w:tcPr>
            <w:tcW w:w="5060" w:type="dxa"/>
            <w:tcBorders>
              <w:top w:val="single" w:sz="4" w:space="0" w:color="auto"/>
              <w:left w:val="single" w:sz="4" w:space="0" w:color="auto"/>
              <w:bottom w:val="nil"/>
              <w:right w:val="single" w:sz="4" w:space="0" w:color="auto"/>
            </w:tcBorders>
            <w:shd w:val="clear" w:color="auto" w:fill="auto"/>
            <w:vAlign w:val="bottom"/>
            <w:hideMark/>
          </w:tcPr>
          <w:p w14:paraId="6129DED4" w14:textId="77777777" w:rsidR="00726838" w:rsidRPr="00B864CD" w:rsidRDefault="00726838" w:rsidP="00726838">
            <w:pPr>
              <w:ind w:left="339"/>
              <w:rPr>
                <w:rFonts w:ascii="Calibri" w:hAnsi="Calibri" w:cs="Calibri"/>
                <w:sz w:val="22"/>
                <w:szCs w:val="22"/>
              </w:rPr>
            </w:pPr>
            <w:r w:rsidRPr="00B864CD">
              <w:rPr>
                <w:rFonts w:ascii="Calibri" w:hAnsi="Calibri" w:cs="Calibri"/>
                <w:sz w:val="22"/>
                <w:szCs w:val="22"/>
              </w:rPr>
              <w:t>Pulling or pushing large objects</w:t>
            </w:r>
          </w:p>
        </w:tc>
      </w:tr>
      <w:tr w:rsidR="00726838" w:rsidRPr="00B864CD" w14:paraId="2BA1CF41" w14:textId="77777777" w:rsidTr="00726838">
        <w:trPr>
          <w:trHeight w:val="320"/>
        </w:trPr>
        <w:tc>
          <w:tcPr>
            <w:tcW w:w="5060" w:type="dxa"/>
            <w:tcBorders>
              <w:top w:val="nil"/>
              <w:left w:val="single" w:sz="4" w:space="0" w:color="auto"/>
              <w:bottom w:val="nil"/>
              <w:right w:val="single" w:sz="4" w:space="0" w:color="auto"/>
            </w:tcBorders>
            <w:shd w:val="clear" w:color="auto" w:fill="auto"/>
            <w:vAlign w:val="bottom"/>
            <w:hideMark/>
          </w:tcPr>
          <w:p w14:paraId="7156D7CD" w14:textId="77777777" w:rsidR="00726838" w:rsidRPr="00B864CD" w:rsidRDefault="00726838" w:rsidP="00726838">
            <w:pPr>
              <w:ind w:left="339"/>
              <w:rPr>
                <w:rFonts w:ascii="Calibri" w:hAnsi="Calibri" w:cs="Calibri"/>
                <w:sz w:val="22"/>
                <w:szCs w:val="22"/>
              </w:rPr>
            </w:pPr>
            <w:r w:rsidRPr="00B864CD">
              <w:rPr>
                <w:rFonts w:ascii="Calibri" w:hAnsi="Calibri" w:cs="Calibri"/>
                <w:sz w:val="22"/>
                <w:szCs w:val="22"/>
              </w:rPr>
              <w:t>Stooping, crouching, or kneeling</w:t>
            </w:r>
          </w:p>
        </w:tc>
      </w:tr>
      <w:tr w:rsidR="00726838" w:rsidRPr="00B864CD" w14:paraId="76031127" w14:textId="77777777" w:rsidTr="00726838">
        <w:trPr>
          <w:trHeight w:val="320"/>
        </w:trPr>
        <w:tc>
          <w:tcPr>
            <w:tcW w:w="5060" w:type="dxa"/>
            <w:tcBorders>
              <w:top w:val="nil"/>
              <w:left w:val="single" w:sz="4" w:space="0" w:color="auto"/>
              <w:bottom w:val="nil"/>
              <w:right w:val="single" w:sz="4" w:space="0" w:color="auto"/>
            </w:tcBorders>
            <w:shd w:val="clear" w:color="auto" w:fill="auto"/>
            <w:vAlign w:val="bottom"/>
            <w:hideMark/>
          </w:tcPr>
          <w:p w14:paraId="7998CD26" w14:textId="77777777" w:rsidR="00726838" w:rsidRPr="00B864CD" w:rsidRDefault="00726838" w:rsidP="00726838">
            <w:pPr>
              <w:ind w:left="339"/>
              <w:rPr>
                <w:rFonts w:ascii="Calibri" w:hAnsi="Calibri" w:cs="Calibri"/>
                <w:sz w:val="22"/>
                <w:szCs w:val="22"/>
              </w:rPr>
            </w:pPr>
            <w:r w:rsidRPr="00B864CD">
              <w:rPr>
                <w:rFonts w:ascii="Calibri" w:hAnsi="Calibri" w:cs="Calibri"/>
                <w:sz w:val="22"/>
                <w:szCs w:val="22"/>
              </w:rPr>
              <w:t>Reaching or extending arms below shoulder level</w:t>
            </w:r>
          </w:p>
        </w:tc>
      </w:tr>
      <w:tr w:rsidR="00726838" w:rsidRPr="00B864CD" w14:paraId="58B0D6FB" w14:textId="77777777" w:rsidTr="00726838">
        <w:trPr>
          <w:trHeight w:val="320"/>
        </w:trPr>
        <w:tc>
          <w:tcPr>
            <w:tcW w:w="5060" w:type="dxa"/>
            <w:tcBorders>
              <w:top w:val="nil"/>
              <w:left w:val="single" w:sz="4" w:space="0" w:color="auto"/>
              <w:bottom w:val="nil"/>
              <w:right w:val="single" w:sz="4" w:space="0" w:color="auto"/>
            </w:tcBorders>
            <w:shd w:val="clear" w:color="auto" w:fill="auto"/>
            <w:vAlign w:val="bottom"/>
            <w:hideMark/>
          </w:tcPr>
          <w:p w14:paraId="6EB60A2A" w14:textId="77777777" w:rsidR="00726838" w:rsidRPr="00B864CD" w:rsidRDefault="00726838" w:rsidP="00726838">
            <w:pPr>
              <w:ind w:left="339"/>
              <w:rPr>
                <w:rFonts w:ascii="Calibri" w:hAnsi="Calibri" w:cs="Calibri"/>
                <w:sz w:val="22"/>
                <w:szCs w:val="22"/>
              </w:rPr>
            </w:pPr>
            <w:r w:rsidRPr="00B864CD">
              <w:rPr>
                <w:rFonts w:ascii="Calibri" w:hAnsi="Calibri" w:cs="Calibri"/>
                <w:sz w:val="22"/>
                <w:szCs w:val="22"/>
              </w:rPr>
              <w:t xml:space="preserve">Reaching or extending arms above shoulder level </w:t>
            </w:r>
          </w:p>
        </w:tc>
      </w:tr>
      <w:tr w:rsidR="00726838" w:rsidRPr="00B864CD" w14:paraId="5697E531" w14:textId="77777777" w:rsidTr="00726838">
        <w:trPr>
          <w:trHeight w:val="320"/>
        </w:trPr>
        <w:tc>
          <w:tcPr>
            <w:tcW w:w="5060" w:type="dxa"/>
            <w:tcBorders>
              <w:top w:val="nil"/>
              <w:left w:val="single" w:sz="4" w:space="0" w:color="auto"/>
              <w:bottom w:val="nil"/>
              <w:right w:val="single" w:sz="4" w:space="0" w:color="auto"/>
            </w:tcBorders>
            <w:shd w:val="clear" w:color="auto" w:fill="auto"/>
            <w:vAlign w:val="bottom"/>
            <w:hideMark/>
          </w:tcPr>
          <w:p w14:paraId="1334406A" w14:textId="77777777" w:rsidR="00726838" w:rsidRPr="00B864CD" w:rsidRDefault="00726838" w:rsidP="00726838">
            <w:pPr>
              <w:ind w:left="339"/>
              <w:rPr>
                <w:rFonts w:ascii="Calibri" w:hAnsi="Calibri" w:cs="Calibri"/>
                <w:sz w:val="22"/>
                <w:szCs w:val="22"/>
              </w:rPr>
            </w:pPr>
            <w:r w:rsidRPr="00B864CD">
              <w:rPr>
                <w:rFonts w:ascii="Calibri" w:hAnsi="Calibri" w:cs="Calibri"/>
                <w:sz w:val="22"/>
                <w:szCs w:val="22"/>
              </w:rPr>
              <w:t>Writing, handling, or fingering small objects</w:t>
            </w:r>
          </w:p>
        </w:tc>
      </w:tr>
      <w:tr w:rsidR="00726838" w:rsidRPr="00B864CD" w14:paraId="70E09389" w14:textId="77777777" w:rsidTr="00726838">
        <w:trPr>
          <w:trHeight w:val="320"/>
        </w:trPr>
        <w:tc>
          <w:tcPr>
            <w:tcW w:w="5060" w:type="dxa"/>
            <w:tcBorders>
              <w:top w:val="nil"/>
              <w:left w:val="single" w:sz="4" w:space="0" w:color="auto"/>
              <w:bottom w:val="nil"/>
              <w:right w:val="single" w:sz="4" w:space="0" w:color="auto"/>
            </w:tcBorders>
            <w:shd w:val="clear" w:color="auto" w:fill="auto"/>
            <w:vAlign w:val="bottom"/>
            <w:hideMark/>
          </w:tcPr>
          <w:p w14:paraId="1C407BF8" w14:textId="77777777" w:rsidR="00726838" w:rsidRPr="00B864CD" w:rsidRDefault="00726838" w:rsidP="00726838">
            <w:pPr>
              <w:ind w:left="339"/>
              <w:rPr>
                <w:rFonts w:ascii="Calibri" w:hAnsi="Calibri" w:cs="Calibri"/>
                <w:sz w:val="22"/>
                <w:szCs w:val="22"/>
              </w:rPr>
            </w:pPr>
            <w:r w:rsidRPr="00B864CD">
              <w:rPr>
                <w:rFonts w:ascii="Calibri" w:hAnsi="Calibri" w:cs="Calibri"/>
                <w:sz w:val="22"/>
                <w:szCs w:val="22"/>
              </w:rPr>
              <w:t>Standing in one place for long periods (15 minutes)</w:t>
            </w:r>
          </w:p>
        </w:tc>
      </w:tr>
      <w:tr w:rsidR="00726838" w:rsidRPr="00B864CD" w14:paraId="086D2D6B" w14:textId="77777777" w:rsidTr="00726838">
        <w:trPr>
          <w:trHeight w:val="320"/>
        </w:trPr>
        <w:tc>
          <w:tcPr>
            <w:tcW w:w="5060" w:type="dxa"/>
            <w:tcBorders>
              <w:top w:val="nil"/>
              <w:left w:val="single" w:sz="4" w:space="0" w:color="auto"/>
              <w:bottom w:val="nil"/>
              <w:right w:val="single" w:sz="4" w:space="0" w:color="auto"/>
            </w:tcBorders>
            <w:shd w:val="clear" w:color="auto" w:fill="auto"/>
            <w:vAlign w:val="bottom"/>
            <w:hideMark/>
          </w:tcPr>
          <w:p w14:paraId="7288E2AE" w14:textId="77777777" w:rsidR="00726838" w:rsidRPr="00B864CD" w:rsidRDefault="00726838" w:rsidP="00726838">
            <w:pPr>
              <w:ind w:left="339"/>
              <w:rPr>
                <w:rFonts w:ascii="Calibri" w:hAnsi="Calibri" w:cs="Calibri"/>
                <w:sz w:val="22"/>
                <w:szCs w:val="22"/>
              </w:rPr>
            </w:pPr>
            <w:r w:rsidRPr="00B864CD">
              <w:rPr>
                <w:rFonts w:ascii="Calibri" w:hAnsi="Calibri" w:cs="Calibri"/>
                <w:sz w:val="22"/>
                <w:szCs w:val="22"/>
              </w:rPr>
              <w:t>Sitting for long periods (one hour)</w:t>
            </w:r>
          </w:p>
        </w:tc>
      </w:tr>
      <w:tr w:rsidR="00726838" w:rsidRPr="00B864CD" w14:paraId="022D56FA" w14:textId="77777777" w:rsidTr="00726838">
        <w:trPr>
          <w:trHeight w:val="320"/>
        </w:trPr>
        <w:tc>
          <w:tcPr>
            <w:tcW w:w="5060" w:type="dxa"/>
            <w:tcBorders>
              <w:top w:val="nil"/>
              <w:left w:val="single" w:sz="4" w:space="0" w:color="auto"/>
              <w:bottom w:val="nil"/>
              <w:right w:val="single" w:sz="4" w:space="0" w:color="auto"/>
            </w:tcBorders>
            <w:shd w:val="clear" w:color="auto" w:fill="auto"/>
            <w:vAlign w:val="bottom"/>
            <w:hideMark/>
          </w:tcPr>
          <w:p w14:paraId="5F740D41" w14:textId="77777777" w:rsidR="00726838" w:rsidRPr="00B864CD" w:rsidRDefault="00726838" w:rsidP="00726838">
            <w:pPr>
              <w:ind w:left="339"/>
              <w:rPr>
                <w:rFonts w:ascii="Calibri" w:hAnsi="Calibri" w:cs="Calibri"/>
                <w:sz w:val="22"/>
                <w:szCs w:val="22"/>
              </w:rPr>
            </w:pPr>
            <w:r w:rsidRPr="00B864CD">
              <w:rPr>
                <w:rFonts w:ascii="Calibri" w:hAnsi="Calibri" w:cs="Calibri"/>
                <w:sz w:val="22"/>
                <w:szCs w:val="22"/>
              </w:rPr>
              <w:t>Lifting or carrying weights under 10 lbs</w:t>
            </w:r>
          </w:p>
        </w:tc>
      </w:tr>
      <w:tr w:rsidR="00726838" w:rsidRPr="00B864CD" w14:paraId="44485871" w14:textId="77777777" w:rsidTr="00726838">
        <w:trPr>
          <w:trHeight w:val="320"/>
        </w:trPr>
        <w:tc>
          <w:tcPr>
            <w:tcW w:w="5060" w:type="dxa"/>
            <w:tcBorders>
              <w:top w:val="nil"/>
              <w:left w:val="single" w:sz="4" w:space="0" w:color="auto"/>
              <w:bottom w:val="single" w:sz="4" w:space="0" w:color="auto"/>
              <w:right w:val="single" w:sz="4" w:space="0" w:color="auto"/>
            </w:tcBorders>
            <w:shd w:val="clear" w:color="auto" w:fill="auto"/>
            <w:vAlign w:val="bottom"/>
            <w:hideMark/>
          </w:tcPr>
          <w:p w14:paraId="206E5890" w14:textId="77777777" w:rsidR="00726838" w:rsidRPr="00B864CD" w:rsidRDefault="00726838" w:rsidP="00726838">
            <w:pPr>
              <w:ind w:left="339"/>
              <w:rPr>
                <w:rFonts w:ascii="Calibri" w:hAnsi="Calibri" w:cs="Calibri"/>
                <w:sz w:val="22"/>
                <w:szCs w:val="22"/>
              </w:rPr>
            </w:pPr>
            <w:r w:rsidRPr="00B864CD">
              <w:rPr>
                <w:rFonts w:ascii="Calibri" w:hAnsi="Calibri" w:cs="Calibri"/>
                <w:sz w:val="22"/>
                <w:szCs w:val="22"/>
              </w:rPr>
              <w:t>Lifting or carrying weights over 10 lbs</w:t>
            </w:r>
          </w:p>
        </w:tc>
      </w:tr>
      <w:tr w:rsidR="00726838" w:rsidRPr="00B864CD" w14:paraId="38739F43" w14:textId="77777777" w:rsidTr="00726838">
        <w:trPr>
          <w:trHeight w:val="960"/>
        </w:trPr>
        <w:tc>
          <w:tcPr>
            <w:tcW w:w="50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6E59B1" w14:textId="77777777" w:rsidR="00726838" w:rsidRPr="00B864CD" w:rsidRDefault="00726838" w:rsidP="00726838">
            <w:pPr>
              <w:rPr>
                <w:rFonts w:ascii="Calibri" w:hAnsi="Calibri" w:cs="Calibri"/>
                <w:b/>
                <w:bCs/>
                <w:sz w:val="22"/>
                <w:szCs w:val="22"/>
              </w:rPr>
            </w:pPr>
            <w:r w:rsidRPr="00B864CD">
              <w:rPr>
                <w:rFonts w:ascii="Calibri" w:hAnsi="Calibri" w:cs="Calibri"/>
                <w:b/>
                <w:bCs/>
                <w:sz w:val="22"/>
                <w:szCs w:val="22"/>
              </w:rPr>
              <w:t xml:space="preserve">Katz ADL Scale. </w:t>
            </w:r>
            <w:r w:rsidRPr="00B864CD">
              <w:rPr>
                <w:rFonts w:ascii="Calibri" w:hAnsi="Calibri" w:cs="Calibri"/>
                <w:sz w:val="22"/>
                <w:szCs w:val="22"/>
              </w:rPr>
              <w:t>Count of activities for which participants required assistance or could not do themselves.</w:t>
            </w:r>
          </w:p>
        </w:tc>
      </w:tr>
      <w:tr w:rsidR="00726838" w:rsidRPr="00B864CD" w14:paraId="26F49211" w14:textId="77777777" w:rsidTr="00726838">
        <w:trPr>
          <w:trHeight w:val="320"/>
        </w:trPr>
        <w:tc>
          <w:tcPr>
            <w:tcW w:w="5060" w:type="dxa"/>
            <w:tcBorders>
              <w:top w:val="single" w:sz="4" w:space="0" w:color="auto"/>
              <w:left w:val="single" w:sz="4" w:space="0" w:color="auto"/>
              <w:bottom w:val="nil"/>
              <w:right w:val="single" w:sz="4" w:space="0" w:color="auto"/>
            </w:tcBorders>
            <w:shd w:val="clear" w:color="auto" w:fill="auto"/>
            <w:vAlign w:val="bottom"/>
            <w:hideMark/>
          </w:tcPr>
          <w:p w14:paraId="46B19D83" w14:textId="77777777" w:rsidR="00726838" w:rsidRPr="00B864CD" w:rsidRDefault="00726838" w:rsidP="00726838">
            <w:pPr>
              <w:ind w:left="339"/>
              <w:rPr>
                <w:rFonts w:ascii="Calibri" w:hAnsi="Calibri" w:cs="Calibri"/>
                <w:sz w:val="22"/>
                <w:szCs w:val="22"/>
              </w:rPr>
            </w:pPr>
            <w:r w:rsidRPr="00B864CD">
              <w:rPr>
                <w:rFonts w:ascii="Calibri" w:hAnsi="Calibri" w:cs="Calibri"/>
                <w:sz w:val="22"/>
                <w:szCs w:val="22"/>
              </w:rPr>
              <w:t>Dressing</w:t>
            </w:r>
          </w:p>
        </w:tc>
      </w:tr>
      <w:tr w:rsidR="00726838" w:rsidRPr="00B864CD" w14:paraId="4BB70557" w14:textId="77777777" w:rsidTr="00726838">
        <w:trPr>
          <w:trHeight w:val="320"/>
        </w:trPr>
        <w:tc>
          <w:tcPr>
            <w:tcW w:w="5060" w:type="dxa"/>
            <w:tcBorders>
              <w:top w:val="nil"/>
              <w:left w:val="single" w:sz="4" w:space="0" w:color="auto"/>
              <w:bottom w:val="nil"/>
              <w:right w:val="single" w:sz="4" w:space="0" w:color="auto"/>
            </w:tcBorders>
            <w:shd w:val="clear" w:color="auto" w:fill="auto"/>
            <w:vAlign w:val="bottom"/>
            <w:hideMark/>
          </w:tcPr>
          <w:p w14:paraId="0F946A19" w14:textId="77777777" w:rsidR="00726838" w:rsidRPr="00B864CD" w:rsidRDefault="00726838" w:rsidP="00726838">
            <w:pPr>
              <w:ind w:left="339"/>
              <w:rPr>
                <w:rFonts w:ascii="Calibri" w:hAnsi="Calibri" w:cs="Calibri"/>
                <w:sz w:val="22"/>
                <w:szCs w:val="22"/>
              </w:rPr>
            </w:pPr>
            <w:r w:rsidRPr="00B864CD">
              <w:rPr>
                <w:rFonts w:ascii="Calibri" w:hAnsi="Calibri" w:cs="Calibri"/>
                <w:sz w:val="22"/>
                <w:szCs w:val="22"/>
              </w:rPr>
              <w:t>Bathing</w:t>
            </w:r>
          </w:p>
        </w:tc>
      </w:tr>
      <w:tr w:rsidR="00726838" w:rsidRPr="00B864CD" w14:paraId="1A55CBAA" w14:textId="77777777" w:rsidTr="00726838">
        <w:trPr>
          <w:trHeight w:val="320"/>
        </w:trPr>
        <w:tc>
          <w:tcPr>
            <w:tcW w:w="5060" w:type="dxa"/>
            <w:tcBorders>
              <w:top w:val="nil"/>
              <w:left w:val="single" w:sz="4" w:space="0" w:color="auto"/>
              <w:bottom w:val="nil"/>
              <w:right w:val="single" w:sz="4" w:space="0" w:color="auto"/>
            </w:tcBorders>
            <w:shd w:val="clear" w:color="auto" w:fill="auto"/>
            <w:vAlign w:val="bottom"/>
            <w:hideMark/>
          </w:tcPr>
          <w:p w14:paraId="4754C6A7" w14:textId="77777777" w:rsidR="00726838" w:rsidRPr="00B864CD" w:rsidRDefault="00726838" w:rsidP="00726838">
            <w:pPr>
              <w:ind w:left="339"/>
              <w:rPr>
                <w:rFonts w:ascii="Calibri" w:hAnsi="Calibri" w:cs="Calibri"/>
                <w:sz w:val="22"/>
                <w:szCs w:val="22"/>
              </w:rPr>
            </w:pPr>
            <w:r w:rsidRPr="00B864CD">
              <w:rPr>
                <w:rFonts w:ascii="Calibri" w:hAnsi="Calibri" w:cs="Calibri"/>
                <w:sz w:val="22"/>
                <w:szCs w:val="22"/>
              </w:rPr>
              <w:t xml:space="preserve">Eating </w:t>
            </w:r>
          </w:p>
        </w:tc>
      </w:tr>
      <w:tr w:rsidR="00726838" w:rsidRPr="00B864CD" w14:paraId="1B33F31A" w14:textId="77777777" w:rsidTr="00726838">
        <w:trPr>
          <w:trHeight w:val="320"/>
        </w:trPr>
        <w:tc>
          <w:tcPr>
            <w:tcW w:w="5060" w:type="dxa"/>
            <w:tcBorders>
              <w:top w:val="nil"/>
              <w:left w:val="single" w:sz="4" w:space="0" w:color="auto"/>
              <w:bottom w:val="nil"/>
              <w:right w:val="single" w:sz="4" w:space="0" w:color="auto"/>
            </w:tcBorders>
            <w:shd w:val="clear" w:color="auto" w:fill="auto"/>
            <w:vAlign w:val="bottom"/>
            <w:hideMark/>
          </w:tcPr>
          <w:p w14:paraId="6872E7D0" w14:textId="6BFE0DB2" w:rsidR="00726838" w:rsidRPr="00B864CD" w:rsidRDefault="00726838" w:rsidP="00726838">
            <w:pPr>
              <w:ind w:left="339"/>
              <w:rPr>
                <w:rFonts w:ascii="Calibri" w:hAnsi="Calibri" w:cs="Calibri"/>
                <w:sz w:val="22"/>
                <w:szCs w:val="22"/>
              </w:rPr>
            </w:pPr>
            <w:r w:rsidRPr="00B864CD">
              <w:rPr>
                <w:rFonts w:ascii="Calibri" w:hAnsi="Calibri" w:cs="Calibri"/>
                <w:sz w:val="22"/>
                <w:szCs w:val="22"/>
              </w:rPr>
              <w:t>Transferring (getting in and out of a chair)</w:t>
            </w:r>
          </w:p>
        </w:tc>
      </w:tr>
      <w:tr w:rsidR="00726838" w:rsidRPr="00B864CD" w14:paraId="6BD83CCE" w14:textId="77777777" w:rsidTr="00726838">
        <w:trPr>
          <w:trHeight w:val="320"/>
        </w:trPr>
        <w:tc>
          <w:tcPr>
            <w:tcW w:w="5060" w:type="dxa"/>
            <w:tcBorders>
              <w:top w:val="nil"/>
              <w:left w:val="single" w:sz="4" w:space="0" w:color="auto"/>
              <w:bottom w:val="single" w:sz="4" w:space="0" w:color="auto"/>
              <w:right w:val="single" w:sz="4" w:space="0" w:color="auto"/>
            </w:tcBorders>
            <w:shd w:val="clear" w:color="auto" w:fill="auto"/>
            <w:vAlign w:val="bottom"/>
            <w:hideMark/>
          </w:tcPr>
          <w:p w14:paraId="3301EC6F" w14:textId="77777777" w:rsidR="00726838" w:rsidRPr="00B864CD" w:rsidRDefault="00726838" w:rsidP="00726838">
            <w:pPr>
              <w:ind w:left="339"/>
              <w:rPr>
                <w:rFonts w:ascii="Calibri" w:hAnsi="Calibri" w:cs="Calibri"/>
                <w:sz w:val="22"/>
                <w:szCs w:val="22"/>
              </w:rPr>
            </w:pPr>
            <w:r w:rsidRPr="00B864CD">
              <w:rPr>
                <w:rFonts w:ascii="Calibri" w:hAnsi="Calibri" w:cs="Calibri"/>
                <w:sz w:val="22"/>
                <w:szCs w:val="22"/>
              </w:rPr>
              <w:t xml:space="preserve">Toileting </w:t>
            </w:r>
          </w:p>
        </w:tc>
      </w:tr>
      <w:tr w:rsidR="00726838" w:rsidRPr="00B864CD" w14:paraId="4FA737DD" w14:textId="77777777" w:rsidTr="00726838">
        <w:trPr>
          <w:trHeight w:val="640"/>
        </w:trPr>
        <w:tc>
          <w:tcPr>
            <w:tcW w:w="50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6090FD" w14:textId="7808C476" w:rsidR="00726838" w:rsidRPr="00B864CD" w:rsidRDefault="00726838" w:rsidP="00726838">
            <w:pPr>
              <w:rPr>
                <w:rFonts w:ascii="Calibri" w:hAnsi="Calibri" w:cs="Calibri"/>
                <w:b/>
                <w:bCs/>
                <w:sz w:val="22"/>
                <w:szCs w:val="22"/>
              </w:rPr>
            </w:pPr>
            <w:r w:rsidRPr="00B864CD">
              <w:rPr>
                <w:rFonts w:ascii="Calibri" w:hAnsi="Calibri" w:cs="Calibri"/>
                <w:b/>
                <w:bCs/>
                <w:sz w:val="22"/>
                <w:szCs w:val="22"/>
              </w:rPr>
              <w:t xml:space="preserve">Rosow-Breslau ADL Scale. </w:t>
            </w:r>
            <w:r w:rsidRPr="00B864CD">
              <w:rPr>
                <w:rFonts w:ascii="Calibri" w:hAnsi="Calibri" w:cs="Calibri"/>
                <w:sz w:val="22"/>
                <w:szCs w:val="22"/>
              </w:rPr>
              <w:t>Count of activities particip</w:t>
            </w:r>
            <w:r w:rsidR="004F3451" w:rsidRPr="00B864CD">
              <w:rPr>
                <w:rFonts w:ascii="Calibri" w:hAnsi="Calibri" w:cs="Calibri"/>
                <w:sz w:val="22"/>
                <w:szCs w:val="22"/>
              </w:rPr>
              <w:t>a</w:t>
            </w:r>
            <w:r w:rsidRPr="00B864CD">
              <w:rPr>
                <w:rFonts w:ascii="Calibri" w:hAnsi="Calibri" w:cs="Calibri"/>
                <w:sz w:val="22"/>
                <w:szCs w:val="22"/>
              </w:rPr>
              <w:t>nts were not able to do.</w:t>
            </w:r>
            <w:r w:rsidRPr="00B864CD">
              <w:rPr>
                <w:rFonts w:ascii="Calibri" w:hAnsi="Calibri" w:cs="Calibri"/>
                <w:b/>
                <w:bCs/>
                <w:sz w:val="22"/>
                <w:szCs w:val="22"/>
              </w:rPr>
              <w:t xml:space="preserve"> </w:t>
            </w:r>
          </w:p>
        </w:tc>
      </w:tr>
      <w:tr w:rsidR="00726838" w:rsidRPr="00B864CD" w14:paraId="566E0DCB" w14:textId="77777777" w:rsidTr="00726838">
        <w:trPr>
          <w:trHeight w:val="320"/>
        </w:trPr>
        <w:tc>
          <w:tcPr>
            <w:tcW w:w="5060" w:type="dxa"/>
            <w:tcBorders>
              <w:top w:val="single" w:sz="4" w:space="0" w:color="auto"/>
              <w:left w:val="single" w:sz="4" w:space="0" w:color="auto"/>
              <w:bottom w:val="nil"/>
              <w:right w:val="single" w:sz="4" w:space="0" w:color="auto"/>
            </w:tcBorders>
            <w:shd w:val="clear" w:color="auto" w:fill="auto"/>
            <w:vAlign w:val="bottom"/>
            <w:hideMark/>
          </w:tcPr>
          <w:p w14:paraId="5D170029" w14:textId="77777777" w:rsidR="00726838" w:rsidRPr="00B864CD" w:rsidRDefault="00726838" w:rsidP="00726838">
            <w:pPr>
              <w:ind w:firstLineChars="200" w:firstLine="440"/>
              <w:rPr>
                <w:rFonts w:ascii="Calibri" w:hAnsi="Calibri" w:cs="Calibri"/>
                <w:sz w:val="22"/>
                <w:szCs w:val="22"/>
              </w:rPr>
            </w:pPr>
            <w:r w:rsidRPr="00B864CD">
              <w:rPr>
                <w:rFonts w:ascii="Calibri" w:hAnsi="Calibri" w:cs="Calibri"/>
                <w:sz w:val="22"/>
                <w:szCs w:val="22"/>
              </w:rPr>
              <w:t>Heavy work around the house</w:t>
            </w:r>
          </w:p>
        </w:tc>
      </w:tr>
      <w:tr w:rsidR="00726838" w:rsidRPr="00B864CD" w14:paraId="36CF7E82" w14:textId="77777777" w:rsidTr="00726838">
        <w:trPr>
          <w:trHeight w:val="320"/>
        </w:trPr>
        <w:tc>
          <w:tcPr>
            <w:tcW w:w="5060" w:type="dxa"/>
            <w:tcBorders>
              <w:top w:val="nil"/>
              <w:left w:val="single" w:sz="4" w:space="0" w:color="auto"/>
              <w:bottom w:val="nil"/>
              <w:right w:val="single" w:sz="4" w:space="0" w:color="auto"/>
            </w:tcBorders>
            <w:shd w:val="clear" w:color="auto" w:fill="auto"/>
            <w:vAlign w:val="bottom"/>
            <w:hideMark/>
          </w:tcPr>
          <w:p w14:paraId="571409F9" w14:textId="77777777" w:rsidR="00726838" w:rsidRPr="00B864CD" w:rsidRDefault="00726838" w:rsidP="00726838">
            <w:pPr>
              <w:ind w:firstLineChars="200" w:firstLine="440"/>
              <w:rPr>
                <w:rFonts w:ascii="Calibri" w:hAnsi="Calibri" w:cs="Calibri"/>
                <w:sz w:val="22"/>
                <w:szCs w:val="22"/>
              </w:rPr>
            </w:pPr>
            <w:r w:rsidRPr="00B864CD">
              <w:rPr>
                <w:rFonts w:ascii="Calibri" w:hAnsi="Calibri" w:cs="Calibri"/>
                <w:sz w:val="22"/>
                <w:szCs w:val="22"/>
              </w:rPr>
              <w:t xml:space="preserve">Walk half a mile without assistance </w:t>
            </w:r>
          </w:p>
        </w:tc>
      </w:tr>
      <w:tr w:rsidR="00726838" w:rsidRPr="00B864CD" w14:paraId="7B680359" w14:textId="77777777" w:rsidTr="00726838">
        <w:trPr>
          <w:trHeight w:val="320"/>
        </w:trPr>
        <w:tc>
          <w:tcPr>
            <w:tcW w:w="5060" w:type="dxa"/>
            <w:tcBorders>
              <w:top w:val="nil"/>
              <w:left w:val="single" w:sz="4" w:space="0" w:color="auto"/>
              <w:bottom w:val="single" w:sz="4" w:space="0" w:color="auto"/>
              <w:right w:val="single" w:sz="4" w:space="0" w:color="auto"/>
            </w:tcBorders>
            <w:shd w:val="clear" w:color="auto" w:fill="auto"/>
            <w:vAlign w:val="bottom"/>
            <w:hideMark/>
          </w:tcPr>
          <w:p w14:paraId="51350E07" w14:textId="77777777" w:rsidR="00726838" w:rsidRPr="00B864CD" w:rsidRDefault="00726838" w:rsidP="00726838">
            <w:pPr>
              <w:ind w:firstLineChars="200" w:firstLine="440"/>
              <w:rPr>
                <w:rFonts w:ascii="Calibri" w:hAnsi="Calibri" w:cs="Calibri"/>
                <w:sz w:val="22"/>
                <w:szCs w:val="22"/>
              </w:rPr>
            </w:pPr>
            <w:r w:rsidRPr="00B864CD">
              <w:rPr>
                <w:rFonts w:ascii="Calibri" w:hAnsi="Calibri" w:cs="Calibri"/>
                <w:sz w:val="22"/>
                <w:szCs w:val="22"/>
              </w:rPr>
              <w:t xml:space="preserve">Walk up and down one flight of stairs </w:t>
            </w:r>
          </w:p>
        </w:tc>
      </w:tr>
    </w:tbl>
    <w:p w14:paraId="0A2077F7" w14:textId="77777777" w:rsidR="0050240C" w:rsidRPr="00B864CD" w:rsidRDefault="0050240C" w:rsidP="00EB6EF4">
      <w:pPr>
        <w:tabs>
          <w:tab w:val="left" w:pos="2437"/>
        </w:tabs>
        <w:rPr>
          <w:color w:val="000000" w:themeColor="text1"/>
        </w:rPr>
      </w:pPr>
    </w:p>
    <w:p w14:paraId="7A453195" w14:textId="77777777" w:rsidR="00C442F4" w:rsidRPr="00B864CD" w:rsidRDefault="00C442F4" w:rsidP="00EB6EF4">
      <w:pPr>
        <w:tabs>
          <w:tab w:val="left" w:pos="2437"/>
        </w:tabs>
        <w:rPr>
          <w:b/>
          <w:bCs/>
          <w:color w:val="000000" w:themeColor="text1"/>
        </w:rPr>
      </w:pPr>
      <w:r w:rsidRPr="00B864CD">
        <w:rPr>
          <w:b/>
          <w:bCs/>
          <w:color w:val="000000" w:themeColor="text1"/>
        </w:rPr>
        <w:br w:type="page"/>
      </w:r>
    </w:p>
    <w:p w14:paraId="23D0EF43" w14:textId="0014FD84" w:rsidR="006F7808" w:rsidRPr="00B864CD" w:rsidRDefault="001403B7" w:rsidP="00EB6EF4">
      <w:pPr>
        <w:tabs>
          <w:tab w:val="left" w:pos="2437"/>
        </w:tabs>
        <w:rPr>
          <w:b/>
          <w:bCs/>
          <w:color w:val="000000" w:themeColor="text1"/>
        </w:rPr>
      </w:pPr>
      <w:r w:rsidRPr="00B864CD">
        <w:rPr>
          <w:b/>
          <w:bCs/>
          <w:color w:val="000000" w:themeColor="text1"/>
        </w:rPr>
        <w:lastRenderedPageBreak/>
        <w:t xml:space="preserve">SUPPLEMENT </w:t>
      </w:r>
      <w:r w:rsidR="00536636" w:rsidRPr="00B864CD">
        <w:rPr>
          <w:b/>
          <w:bCs/>
          <w:color w:val="000000" w:themeColor="text1"/>
        </w:rPr>
        <w:t>REFERENCES</w:t>
      </w:r>
    </w:p>
    <w:p w14:paraId="50351FD3" w14:textId="2112C5FC" w:rsidR="00536636" w:rsidRPr="00B864CD" w:rsidRDefault="00536636" w:rsidP="00EB6EF4">
      <w:pPr>
        <w:tabs>
          <w:tab w:val="left" w:pos="2437"/>
        </w:tabs>
        <w:rPr>
          <w:color w:val="000000" w:themeColor="text1"/>
        </w:rPr>
      </w:pPr>
    </w:p>
    <w:p w14:paraId="616D6289" w14:textId="77777777" w:rsidR="00C442F4" w:rsidRPr="00B864CD" w:rsidRDefault="00C442F4" w:rsidP="00C442F4">
      <w:pPr>
        <w:pStyle w:val="Bibliography"/>
        <w:rPr>
          <w:color w:val="000000"/>
        </w:rPr>
      </w:pPr>
      <w:r w:rsidRPr="00B864CD">
        <w:rPr>
          <w:color w:val="000000" w:themeColor="text1"/>
        </w:rPr>
        <w:fldChar w:fldCharType="begin"/>
      </w:r>
      <w:r w:rsidRPr="00B864CD">
        <w:rPr>
          <w:color w:val="000000" w:themeColor="text1"/>
        </w:rPr>
        <w:instrText xml:space="preserve"> ADDIN ZOTERO_BIBL {"uncited":[],"omitted":[],"custom":[]} CSL_BIBLIOGRAPHY </w:instrText>
      </w:r>
      <w:r w:rsidRPr="00B864CD">
        <w:rPr>
          <w:color w:val="000000" w:themeColor="text1"/>
        </w:rPr>
        <w:fldChar w:fldCharType="separate"/>
      </w:r>
      <w:r w:rsidRPr="00B864CD">
        <w:rPr>
          <w:color w:val="000000"/>
        </w:rPr>
        <w:t xml:space="preserve">Belsky DW, Caspi A, Houts R, Cohen HJ, Corcoran DL, Danese A, Harrington H, Israel S, Levine ME, Schaefer JD, Sugden K, Williams B, Yashin AI, Poulton R, Moffitt TE. 2015. Quantification of biological aging in young adults. </w:t>
      </w:r>
      <w:r w:rsidRPr="00B864CD">
        <w:rPr>
          <w:i/>
          <w:iCs/>
          <w:color w:val="000000"/>
        </w:rPr>
        <w:t>Proc Natl Acad Sci USA</w:t>
      </w:r>
      <w:r w:rsidRPr="00B864CD">
        <w:rPr>
          <w:color w:val="000000"/>
        </w:rPr>
        <w:t xml:space="preserve"> </w:t>
      </w:r>
      <w:r w:rsidRPr="00B864CD">
        <w:rPr>
          <w:b/>
          <w:bCs/>
          <w:color w:val="000000"/>
        </w:rPr>
        <w:t>112</w:t>
      </w:r>
      <w:r w:rsidRPr="00B864CD">
        <w:rPr>
          <w:color w:val="000000"/>
        </w:rPr>
        <w:t>:E4104-4110. doi:10.1073/pnas.1506264112</w:t>
      </w:r>
    </w:p>
    <w:p w14:paraId="3C6A1862" w14:textId="77777777" w:rsidR="00C442F4" w:rsidRPr="00B864CD" w:rsidRDefault="00C442F4" w:rsidP="00C442F4">
      <w:pPr>
        <w:pStyle w:val="Bibliography"/>
        <w:rPr>
          <w:color w:val="000000"/>
        </w:rPr>
      </w:pPr>
      <w:r w:rsidRPr="00B864CD">
        <w:rPr>
          <w:color w:val="000000"/>
        </w:rPr>
        <w:t xml:space="preserve">Bohannon RW, Larkin PA, Cook AC, Gear J, Singer J. 1984. Decrease in timed balance test scores with aging. </w:t>
      </w:r>
      <w:r w:rsidRPr="00B864CD">
        <w:rPr>
          <w:i/>
          <w:iCs/>
          <w:color w:val="000000"/>
        </w:rPr>
        <w:t>Phys Ther</w:t>
      </w:r>
      <w:r w:rsidRPr="00B864CD">
        <w:rPr>
          <w:color w:val="000000"/>
        </w:rPr>
        <w:t xml:space="preserve"> </w:t>
      </w:r>
      <w:r w:rsidRPr="00B864CD">
        <w:rPr>
          <w:b/>
          <w:bCs/>
          <w:color w:val="000000"/>
        </w:rPr>
        <w:t>64</w:t>
      </w:r>
      <w:r w:rsidRPr="00B864CD">
        <w:rPr>
          <w:color w:val="000000"/>
        </w:rPr>
        <w:t>:1067–1070.</w:t>
      </w:r>
    </w:p>
    <w:p w14:paraId="4D362FAF" w14:textId="77777777" w:rsidR="00C442F4" w:rsidRPr="00B864CD" w:rsidRDefault="00C442F4" w:rsidP="00C442F4">
      <w:pPr>
        <w:pStyle w:val="Bibliography"/>
        <w:rPr>
          <w:color w:val="000000"/>
        </w:rPr>
      </w:pPr>
      <w:r w:rsidRPr="00B864CD">
        <w:rPr>
          <w:color w:val="000000"/>
        </w:rPr>
        <w:t xml:space="preserve">Christensen K, Thinggaard M, McGue M, Rexbye H, Hjelmborg J v B, Aviv A, Gunn D, van der Ouderaa F, Vaupel JW. 2009. Perceived age as clinically useful biomarker of ageing: cohort study. </w:t>
      </w:r>
      <w:r w:rsidRPr="00B864CD">
        <w:rPr>
          <w:i/>
          <w:iCs/>
          <w:color w:val="000000"/>
        </w:rPr>
        <w:t>BMJ</w:t>
      </w:r>
      <w:r w:rsidRPr="00B864CD">
        <w:rPr>
          <w:color w:val="000000"/>
        </w:rPr>
        <w:t xml:space="preserve"> </w:t>
      </w:r>
      <w:r w:rsidRPr="00B864CD">
        <w:rPr>
          <w:b/>
          <w:bCs/>
          <w:color w:val="000000"/>
        </w:rPr>
        <w:t>339</w:t>
      </w:r>
      <w:r w:rsidRPr="00B864CD">
        <w:rPr>
          <w:color w:val="000000"/>
        </w:rPr>
        <w:t>. doi:10.1136/bmj.b5262</w:t>
      </w:r>
    </w:p>
    <w:p w14:paraId="32D01C60" w14:textId="77777777" w:rsidR="00C442F4" w:rsidRPr="00B864CD" w:rsidRDefault="00C442F4" w:rsidP="00C442F4">
      <w:pPr>
        <w:pStyle w:val="Bibliography"/>
        <w:rPr>
          <w:color w:val="000000"/>
        </w:rPr>
      </w:pPr>
      <w:r w:rsidRPr="00B864CD">
        <w:rPr>
          <w:color w:val="000000"/>
        </w:rPr>
        <w:t xml:space="preserve">Elliott ML, Caspi A, Houts RM, Ambler A, Broadbent JM, Hancox RJ, Harrington H, Hogan S, Keenan R, Knodt A, Leung JH, Melzer TR, Purdy SC, Ramrakha S, Richmond-Rakerd LS, Righarts A, Sugden K, Thomson WM, Thorne PR, Williams BS, Wilson G, Hariri AR, Poulton R, Moffitt TE. 2021. Disparities in the pace of biological aging among midlife adults of the same chronological age have implications for future frailty risk and policy. </w:t>
      </w:r>
      <w:r w:rsidRPr="00B864CD">
        <w:rPr>
          <w:i/>
          <w:iCs/>
          <w:color w:val="000000"/>
        </w:rPr>
        <w:t>Nat Aging</w:t>
      </w:r>
      <w:r w:rsidRPr="00B864CD">
        <w:rPr>
          <w:color w:val="000000"/>
        </w:rPr>
        <w:t xml:space="preserve"> </w:t>
      </w:r>
      <w:r w:rsidRPr="00B864CD">
        <w:rPr>
          <w:b/>
          <w:bCs/>
          <w:color w:val="000000"/>
        </w:rPr>
        <w:t>1</w:t>
      </w:r>
      <w:r w:rsidRPr="00B864CD">
        <w:rPr>
          <w:color w:val="000000"/>
        </w:rPr>
        <w:t>:295–308. doi:10.1038/s43587-021-00044-4</w:t>
      </w:r>
    </w:p>
    <w:p w14:paraId="74DD5382" w14:textId="77777777" w:rsidR="00C442F4" w:rsidRPr="00B864CD" w:rsidRDefault="00C442F4" w:rsidP="00C442F4">
      <w:pPr>
        <w:pStyle w:val="Bibliography"/>
        <w:rPr>
          <w:color w:val="000000"/>
        </w:rPr>
      </w:pPr>
      <w:r w:rsidRPr="00B864CD">
        <w:rPr>
          <w:color w:val="000000"/>
        </w:rPr>
        <w:t xml:space="preserve">Jones CJ, Rikli RE. 2002. Measuring functional fitness in older adults. </w:t>
      </w:r>
      <w:r w:rsidRPr="00B864CD">
        <w:rPr>
          <w:i/>
          <w:iCs/>
          <w:color w:val="000000"/>
        </w:rPr>
        <w:t>The Journal on active aging</w:t>
      </w:r>
      <w:r w:rsidRPr="00B864CD">
        <w:rPr>
          <w:color w:val="000000"/>
        </w:rPr>
        <w:t xml:space="preserve"> </w:t>
      </w:r>
      <w:r w:rsidRPr="00B864CD">
        <w:rPr>
          <w:b/>
          <w:bCs/>
          <w:color w:val="000000"/>
        </w:rPr>
        <w:t>1</w:t>
      </w:r>
      <w:r w:rsidRPr="00B864CD">
        <w:rPr>
          <w:color w:val="000000"/>
        </w:rPr>
        <w:t>:24–30.</w:t>
      </w:r>
    </w:p>
    <w:p w14:paraId="69D98AC0" w14:textId="77777777" w:rsidR="00C442F4" w:rsidRPr="00B864CD" w:rsidRDefault="00C442F4" w:rsidP="00C442F4">
      <w:pPr>
        <w:pStyle w:val="Bibliography"/>
        <w:rPr>
          <w:color w:val="000000"/>
        </w:rPr>
      </w:pPr>
      <w:r w:rsidRPr="00B864CD">
        <w:rPr>
          <w:color w:val="000000"/>
        </w:rPr>
        <w:t xml:space="preserve">Jones CJ, Rikli RE, Beam WC. 1999. A 30-s chair-stand test as a measure of lower body strength in community-residing older adults. </w:t>
      </w:r>
      <w:r w:rsidRPr="00B864CD">
        <w:rPr>
          <w:i/>
          <w:iCs/>
          <w:color w:val="000000"/>
        </w:rPr>
        <w:t>Research quarterly for exercise and sport</w:t>
      </w:r>
      <w:r w:rsidRPr="00B864CD">
        <w:rPr>
          <w:color w:val="000000"/>
        </w:rPr>
        <w:t xml:space="preserve"> </w:t>
      </w:r>
      <w:r w:rsidRPr="00B864CD">
        <w:rPr>
          <w:b/>
          <w:bCs/>
          <w:color w:val="000000"/>
        </w:rPr>
        <w:t>70</w:t>
      </w:r>
      <w:r w:rsidRPr="00B864CD">
        <w:rPr>
          <w:color w:val="000000"/>
        </w:rPr>
        <w:t>:113–119.</w:t>
      </w:r>
    </w:p>
    <w:p w14:paraId="59ACD093" w14:textId="77777777" w:rsidR="00C442F4" w:rsidRPr="00B864CD" w:rsidRDefault="00C442F4" w:rsidP="00C442F4">
      <w:pPr>
        <w:pStyle w:val="Bibliography"/>
        <w:rPr>
          <w:color w:val="000000"/>
        </w:rPr>
      </w:pPr>
      <w:r w:rsidRPr="00B864CD">
        <w:rPr>
          <w:color w:val="000000"/>
        </w:rPr>
        <w:t xml:space="preserve">Mathiowetz V, Kashman N, Volland G, Weber K, Dowe M, Rogers S. 1985. Grip and pinch strength: normative data for adults. </w:t>
      </w:r>
      <w:r w:rsidRPr="00B864CD">
        <w:rPr>
          <w:i/>
          <w:iCs/>
          <w:color w:val="000000"/>
        </w:rPr>
        <w:t>Arch Phys Med Rehabil</w:t>
      </w:r>
      <w:r w:rsidRPr="00B864CD">
        <w:rPr>
          <w:color w:val="000000"/>
        </w:rPr>
        <w:t xml:space="preserve"> </w:t>
      </w:r>
      <w:r w:rsidRPr="00B864CD">
        <w:rPr>
          <w:b/>
          <w:bCs/>
          <w:color w:val="000000"/>
        </w:rPr>
        <w:t>66</w:t>
      </w:r>
      <w:r w:rsidRPr="00B864CD">
        <w:rPr>
          <w:color w:val="000000"/>
        </w:rPr>
        <w:t>:69–74.</w:t>
      </w:r>
    </w:p>
    <w:p w14:paraId="55CA75A9" w14:textId="77777777" w:rsidR="00C442F4" w:rsidRPr="00B864CD" w:rsidRDefault="00C442F4" w:rsidP="00C442F4">
      <w:pPr>
        <w:pStyle w:val="Bibliography"/>
        <w:rPr>
          <w:color w:val="000000"/>
        </w:rPr>
      </w:pPr>
      <w:r w:rsidRPr="00B864CD">
        <w:rPr>
          <w:color w:val="000000"/>
        </w:rPr>
        <w:t xml:space="preserve">Nettle D, Gadalla SM, Lai T-P, Susser E, Bateson M, Aviv A. 2021. Telomere length measurement for longitudinal analysis: implications of assay precision. </w:t>
      </w:r>
      <w:r w:rsidRPr="00B864CD">
        <w:rPr>
          <w:i/>
          <w:iCs/>
          <w:color w:val="000000"/>
        </w:rPr>
        <w:t>Am J Epidemiol</w:t>
      </w:r>
      <w:r w:rsidRPr="00B864CD">
        <w:rPr>
          <w:color w:val="000000"/>
        </w:rPr>
        <w:t>. doi:10.1093/aje/kwab025</w:t>
      </w:r>
    </w:p>
    <w:p w14:paraId="5310C190" w14:textId="77777777" w:rsidR="00C442F4" w:rsidRPr="00B864CD" w:rsidRDefault="00C442F4" w:rsidP="00C442F4">
      <w:pPr>
        <w:pStyle w:val="Bibliography"/>
        <w:rPr>
          <w:color w:val="000000"/>
        </w:rPr>
      </w:pPr>
      <w:r w:rsidRPr="00B864CD">
        <w:rPr>
          <w:color w:val="000000"/>
        </w:rPr>
        <w:t xml:space="preserve">Rantanen T, Guralnik JM, Foley D, et al. 1999. MIdlife hand grip strength as a predictor of old age disability. </w:t>
      </w:r>
      <w:r w:rsidRPr="00B864CD">
        <w:rPr>
          <w:i/>
          <w:iCs/>
          <w:color w:val="000000"/>
        </w:rPr>
        <w:t>JAMA</w:t>
      </w:r>
      <w:r w:rsidRPr="00B864CD">
        <w:rPr>
          <w:color w:val="000000"/>
        </w:rPr>
        <w:t xml:space="preserve"> </w:t>
      </w:r>
      <w:r w:rsidRPr="00B864CD">
        <w:rPr>
          <w:b/>
          <w:bCs/>
          <w:color w:val="000000"/>
        </w:rPr>
        <w:t>281</w:t>
      </w:r>
      <w:r w:rsidRPr="00B864CD">
        <w:rPr>
          <w:color w:val="000000"/>
        </w:rPr>
        <w:t>:558–560. doi:10.1001/jama.281.6.558</w:t>
      </w:r>
    </w:p>
    <w:p w14:paraId="44DEA41A" w14:textId="77777777" w:rsidR="00C442F4" w:rsidRPr="00B864CD" w:rsidRDefault="00C442F4" w:rsidP="00C442F4">
      <w:pPr>
        <w:pStyle w:val="Bibliography"/>
        <w:rPr>
          <w:color w:val="000000"/>
        </w:rPr>
      </w:pPr>
      <w:r w:rsidRPr="00B864CD">
        <w:rPr>
          <w:color w:val="000000"/>
        </w:rPr>
        <w:t xml:space="preserve">Rasmussen LJH, Caspi A, Ambler A, Broadbent JM, Cohen HJ, d’Arbeloff T, Elliott M, Hancox RJ, Harrington H, Hogan S, Houts R, Ireland D, Knodt AR, Meredith-Jones K, Morey MC, Morrison L, Poulton R, Ramrakha S, Richmond-Rakerd L, Sison ML, Sneddon K, Thomson WM, Hariri AR, Moffitt TE. 2019. Association of Neurocognitive and Physical Function With Gait Speed in Midlife. </w:t>
      </w:r>
      <w:r w:rsidRPr="00B864CD">
        <w:rPr>
          <w:i/>
          <w:iCs/>
          <w:color w:val="000000"/>
        </w:rPr>
        <w:t>JAMA Netw Open</w:t>
      </w:r>
      <w:r w:rsidRPr="00B864CD">
        <w:rPr>
          <w:color w:val="000000"/>
        </w:rPr>
        <w:t xml:space="preserve"> </w:t>
      </w:r>
      <w:r w:rsidRPr="00B864CD">
        <w:rPr>
          <w:b/>
          <w:bCs/>
          <w:color w:val="000000"/>
        </w:rPr>
        <w:t>2</w:t>
      </w:r>
      <w:r w:rsidRPr="00B864CD">
        <w:rPr>
          <w:color w:val="000000"/>
        </w:rPr>
        <w:t>:e1913123–e1913123. doi:10.1001/jamanetworkopen.2019.13123</w:t>
      </w:r>
    </w:p>
    <w:p w14:paraId="2C4A5DC7" w14:textId="77777777" w:rsidR="00C442F4" w:rsidRPr="00B864CD" w:rsidRDefault="00C442F4" w:rsidP="00C442F4">
      <w:pPr>
        <w:pStyle w:val="Bibliography"/>
        <w:rPr>
          <w:color w:val="000000"/>
        </w:rPr>
      </w:pPr>
      <w:r w:rsidRPr="00B864CD">
        <w:rPr>
          <w:color w:val="000000"/>
        </w:rPr>
        <w:t xml:space="preserve">Rikli RE, Jones CJ. 1999. Functional fitness normative scores for community-residing older adults, ages 60-94. </w:t>
      </w:r>
      <w:r w:rsidRPr="00B864CD">
        <w:rPr>
          <w:i/>
          <w:iCs/>
          <w:color w:val="000000"/>
        </w:rPr>
        <w:t>Journal of aging and physical activity</w:t>
      </w:r>
      <w:r w:rsidRPr="00B864CD">
        <w:rPr>
          <w:color w:val="000000"/>
        </w:rPr>
        <w:t xml:space="preserve"> </w:t>
      </w:r>
      <w:r w:rsidRPr="00B864CD">
        <w:rPr>
          <w:b/>
          <w:bCs/>
          <w:color w:val="000000"/>
        </w:rPr>
        <w:t>7</w:t>
      </w:r>
      <w:r w:rsidRPr="00B864CD">
        <w:rPr>
          <w:color w:val="000000"/>
        </w:rPr>
        <w:t>:162–181.</w:t>
      </w:r>
    </w:p>
    <w:p w14:paraId="3BFC5716" w14:textId="77777777" w:rsidR="00C442F4" w:rsidRPr="00B864CD" w:rsidRDefault="00C442F4" w:rsidP="00C442F4">
      <w:pPr>
        <w:pStyle w:val="Bibliography"/>
        <w:rPr>
          <w:color w:val="000000"/>
        </w:rPr>
      </w:pPr>
      <w:r w:rsidRPr="00B864CD">
        <w:rPr>
          <w:color w:val="000000"/>
        </w:rPr>
        <w:t xml:space="preserve">Shalev I, Caspi A, Ambler A, Belsky DW, Chapple S, Cohen HJ, Israel S, Poulton R, Ramrakha S, Rivera CD, Sugden K, Williams B, Wolke D, Moffitt TE. 2014. Perinatal complications and aging indicators by midlife. </w:t>
      </w:r>
      <w:r w:rsidRPr="00B864CD">
        <w:rPr>
          <w:i/>
          <w:iCs/>
          <w:color w:val="000000"/>
        </w:rPr>
        <w:t>Pediatrics</w:t>
      </w:r>
      <w:r w:rsidRPr="00B864CD">
        <w:rPr>
          <w:color w:val="000000"/>
        </w:rPr>
        <w:t xml:space="preserve"> </w:t>
      </w:r>
      <w:r w:rsidRPr="00B864CD">
        <w:rPr>
          <w:b/>
          <w:bCs/>
          <w:color w:val="000000"/>
        </w:rPr>
        <w:t>134</w:t>
      </w:r>
      <w:r w:rsidRPr="00B864CD">
        <w:rPr>
          <w:color w:val="000000"/>
        </w:rPr>
        <w:t>:e1315-1323. doi:10.1542/peds.2014-1669</w:t>
      </w:r>
    </w:p>
    <w:p w14:paraId="5AA5BEE2" w14:textId="77777777" w:rsidR="00C442F4" w:rsidRPr="00B864CD" w:rsidRDefault="00C442F4" w:rsidP="00C442F4">
      <w:pPr>
        <w:pStyle w:val="Bibliography"/>
        <w:rPr>
          <w:color w:val="000000"/>
        </w:rPr>
      </w:pPr>
      <w:r w:rsidRPr="00B864CD">
        <w:rPr>
          <w:color w:val="000000"/>
        </w:rPr>
        <w:t xml:space="preserve">Springer BA, Marin R, Cyhan T, Roberts H, Gill NW. 2007. Normative values for the unipedal stance test with eyes open and closed. </w:t>
      </w:r>
      <w:r w:rsidRPr="00B864CD">
        <w:rPr>
          <w:i/>
          <w:iCs/>
          <w:color w:val="000000"/>
        </w:rPr>
        <w:t>J Geriatr Phys Ther</w:t>
      </w:r>
      <w:r w:rsidRPr="00B864CD">
        <w:rPr>
          <w:color w:val="000000"/>
        </w:rPr>
        <w:t xml:space="preserve"> </w:t>
      </w:r>
      <w:r w:rsidRPr="00B864CD">
        <w:rPr>
          <w:b/>
          <w:bCs/>
          <w:color w:val="000000"/>
        </w:rPr>
        <w:t>30</w:t>
      </w:r>
      <w:r w:rsidRPr="00B864CD">
        <w:rPr>
          <w:color w:val="000000"/>
        </w:rPr>
        <w:t>:8–15.</w:t>
      </w:r>
    </w:p>
    <w:p w14:paraId="2398C06A" w14:textId="77777777" w:rsidR="00C442F4" w:rsidRPr="00B864CD" w:rsidRDefault="00C442F4" w:rsidP="00C442F4">
      <w:pPr>
        <w:pStyle w:val="Bibliography"/>
        <w:rPr>
          <w:color w:val="000000"/>
        </w:rPr>
      </w:pPr>
      <w:r w:rsidRPr="00B864CD">
        <w:rPr>
          <w:color w:val="000000"/>
        </w:rPr>
        <w:t xml:space="preserve">Thomas S. 2017. Telomeres as Sentinels for Environmental Exposures, Psychosocial Stress, and Disease Susceptibility: Workshop Summary. </w:t>
      </w:r>
      <w:r w:rsidRPr="00B864CD">
        <w:rPr>
          <w:i/>
          <w:iCs/>
          <w:color w:val="000000"/>
        </w:rPr>
        <w:t>NIEHS-NIA Workshop on Telomeres</w:t>
      </w:r>
      <w:r w:rsidRPr="00B864CD">
        <w:rPr>
          <w:color w:val="000000"/>
        </w:rPr>
        <w:t>.</w:t>
      </w:r>
    </w:p>
    <w:p w14:paraId="361A73F5" w14:textId="77777777" w:rsidR="00C442F4" w:rsidRPr="00B864CD" w:rsidRDefault="00C442F4" w:rsidP="00C442F4">
      <w:pPr>
        <w:pStyle w:val="Bibliography"/>
        <w:rPr>
          <w:color w:val="000000"/>
        </w:rPr>
      </w:pPr>
      <w:r w:rsidRPr="00B864CD">
        <w:rPr>
          <w:color w:val="000000"/>
        </w:rPr>
        <w:lastRenderedPageBreak/>
        <w:t xml:space="preserve">Vereeck L, Wuyts F, Truijen S, Van de Heyning P. 2008. Clinical assessment of balance: Normative data, and gender and age effects. </w:t>
      </w:r>
      <w:r w:rsidRPr="00B864CD">
        <w:rPr>
          <w:i/>
          <w:iCs/>
          <w:color w:val="000000"/>
        </w:rPr>
        <w:t>International Journal of Audiology</w:t>
      </w:r>
      <w:r w:rsidRPr="00B864CD">
        <w:rPr>
          <w:color w:val="000000"/>
        </w:rPr>
        <w:t xml:space="preserve"> </w:t>
      </w:r>
      <w:r w:rsidRPr="00B864CD">
        <w:rPr>
          <w:b/>
          <w:bCs/>
          <w:color w:val="000000"/>
        </w:rPr>
        <w:t>47</w:t>
      </w:r>
      <w:r w:rsidRPr="00B864CD">
        <w:rPr>
          <w:color w:val="000000"/>
        </w:rPr>
        <w:t>:67–75. doi:10.1080/14992020701689688</w:t>
      </w:r>
    </w:p>
    <w:p w14:paraId="2FDF427D" w14:textId="77777777" w:rsidR="00C442F4" w:rsidRPr="00B864CD" w:rsidRDefault="00C442F4" w:rsidP="00C442F4">
      <w:pPr>
        <w:pStyle w:val="Bibliography"/>
        <w:rPr>
          <w:color w:val="000000"/>
        </w:rPr>
      </w:pPr>
      <w:r w:rsidRPr="00B864CD">
        <w:rPr>
          <w:color w:val="000000"/>
        </w:rPr>
        <w:t xml:space="preserve">Ware JE Jr, Sherbourne CD. 1992. The MOS 36-Item Short-Form Health Survey (SF-36): I. Conceptual Framework and Item Selection. </w:t>
      </w:r>
      <w:r w:rsidRPr="00B864CD">
        <w:rPr>
          <w:i/>
          <w:iCs/>
          <w:color w:val="000000"/>
        </w:rPr>
        <w:t>Medical Care</w:t>
      </w:r>
      <w:r w:rsidRPr="00B864CD">
        <w:rPr>
          <w:color w:val="000000"/>
        </w:rPr>
        <w:t xml:space="preserve"> </w:t>
      </w:r>
      <w:r w:rsidRPr="00B864CD">
        <w:rPr>
          <w:b/>
          <w:bCs/>
          <w:color w:val="000000"/>
        </w:rPr>
        <w:t>30</w:t>
      </w:r>
      <w:r w:rsidRPr="00B864CD">
        <w:rPr>
          <w:color w:val="000000"/>
        </w:rPr>
        <w:t>:473–483.</w:t>
      </w:r>
    </w:p>
    <w:p w14:paraId="23069000" w14:textId="77777777" w:rsidR="00C442F4" w:rsidRPr="00B864CD" w:rsidRDefault="00C442F4" w:rsidP="00C442F4">
      <w:pPr>
        <w:pStyle w:val="Bibliography"/>
        <w:rPr>
          <w:color w:val="000000"/>
        </w:rPr>
      </w:pPr>
      <w:r w:rsidRPr="00B864CD">
        <w:rPr>
          <w:color w:val="000000"/>
        </w:rPr>
        <w:t>Wechsler D. 2008. Wechsler Adult Intelligence Scale, 4th ed. San Antonio, TX: Pearson Assessment.</w:t>
      </w:r>
    </w:p>
    <w:p w14:paraId="4DCF1AA1" w14:textId="77777777" w:rsidR="00C442F4" w:rsidRPr="00B864CD" w:rsidRDefault="00C442F4" w:rsidP="00C442F4">
      <w:pPr>
        <w:pStyle w:val="Bibliography"/>
        <w:rPr>
          <w:color w:val="000000"/>
        </w:rPr>
      </w:pPr>
      <w:r w:rsidRPr="00B864CD">
        <w:rPr>
          <w:color w:val="000000"/>
        </w:rPr>
        <w:t>Wechsler D. 2003. Wechsler Intelligence Scale for Children, 4th (UK Version). ed. San Antonio, TX: Harcourt Assessment.</w:t>
      </w:r>
    </w:p>
    <w:p w14:paraId="68421056" w14:textId="66786B4A" w:rsidR="00536636" w:rsidRPr="004A56FC" w:rsidRDefault="00C442F4" w:rsidP="00EB6EF4">
      <w:pPr>
        <w:tabs>
          <w:tab w:val="left" w:pos="2437"/>
        </w:tabs>
        <w:rPr>
          <w:color w:val="000000" w:themeColor="text1"/>
        </w:rPr>
      </w:pPr>
      <w:r w:rsidRPr="00B864CD">
        <w:rPr>
          <w:color w:val="000000" w:themeColor="text1"/>
        </w:rPr>
        <w:fldChar w:fldCharType="end"/>
      </w:r>
    </w:p>
    <w:sectPr w:rsidR="00536636" w:rsidRPr="004A56FC" w:rsidSect="00374A82">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6A932" w14:textId="77777777" w:rsidR="003C4CD8" w:rsidRDefault="003C4CD8" w:rsidP="001A3ACD">
      <w:r>
        <w:separator/>
      </w:r>
    </w:p>
  </w:endnote>
  <w:endnote w:type="continuationSeparator" w:id="0">
    <w:p w14:paraId="03A2D905" w14:textId="77777777" w:rsidR="003C4CD8" w:rsidRDefault="003C4CD8" w:rsidP="001A3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calaLancetPro">
    <w:altName w:val="MS Mincho"/>
    <w:panose1 w:val="020B0604020202020204"/>
    <w:charset w:val="80"/>
    <w:family w:val="auto"/>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5826503"/>
      <w:docPartObj>
        <w:docPartGallery w:val="Page Numbers (Bottom of Page)"/>
        <w:docPartUnique/>
      </w:docPartObj>
    </w:sdtPr>
    <w:sdtEndPr>
      <w:rPr>
        <w:rStyle w:val="PageNumber"/>
      </w:rPr>
    </w:sdtEndPr>
    <w:sdtContent>
      <w:p w14:paraId="3A338FA8" w14:textId="0DB4D6EF" w:rsidR="001A3ACD" w:rsidRDefault="001A3ACD" w:rsidP="009A3E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5EF6EC" w14:textId="77777777" w:rsidR="001A3ACD" w:rsidRDefault="001A3ACD" w:rsidP="001A3A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105973"/>
      <w:docPartObj>
        <w:docPartGallery w:val="Page Numbers (Bottom of Page)"/>
        <w:docPartUnique/>
      </w:docPartObj>
    </w:sdtPr>
    <w:sdtEndPr>
      <w:rPr>
        <w:rStyle w:val="PageNumber"/>
      </w:rPr>
    </w:sdtEndPr>
    <w:sdtContent>
      <w:p w14:paraId="35FD728A" w14:textId="1A6C10EA" w:rsidR="001A3ACD" w:rsidRDefault="001A3ACD" w:rsidP="009A3E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5BC767" w14:textId="77777777" w:rsidR="001A3ACD" w:rsidRDefault="001A3ACD" w:rsidP="001A3A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F1952" w14:textId="77777777" w:rsidR="003C4CD8" w:rsidRDefault="003C4CD8" w:rsidP="001A3ACD">
      <w:r>
        <w:separator/>
      </w:r>
    </w:p>
  </w:footnote>
  <w:footnote w:type="continuationSeparator" w:id="0">
    <w:p w14:paraId="508E5685" w14:textId="77777777" w:rsidR="003C4CD8" w:rsidRDefault="003C4CD8" w:rsidP="001A3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565022"/>
    <w:multiLevelType w:val="hybridMultilevel"/>
    <w:tmpl w:val="917A9CEA"/>
    <w:lvl w:ilvl="0" w:tplc="4F980484">
      <w:start w:val="1"/>
      <w:numFmt w:val="upperLetter"/>
      <w:lvlText w:val="%1."/>
      <w:lvlJc w:val="left"/>
      <w:pPr>
        <w:ind w:left="4320" w:hanging="144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D7B"/>
    <w:rsid w:val="00025C11"/>
    <w:rsid w:val="000412B6"/>
    <w:rsid w:val="0005441E"/>
    <w:rsid w:val="00064367"/>
    <w:rsid w:val="00072DC8"/>
    <w:rsid w:val="000832BA"/>
    <w:rsid w:val="000838D4"/>
    <w:rsid w:val="00092B83"/>
    <w:rsid w:val="000C0EBE"/>
    <w:rsid w:val="000D2031"/>
    <w:rsid w:val="000F0B76"/>
    <w:rsid w:val="00134926"/>
    <w:rsid w:val="001403B7"/>
    <w:rsid w:val="00140B45"/>
    <w:rsid w:val="00151F80"/>
    <w:rsid w:val="00167A87"/>
    <w:rsid w:val="001739F9"/>
    <w:rsid w:val="001807F4"/>
    <w:rsid w:val="00184919"/>
    <w:rsid w:val="00193BEC"/>
    <w:rsid w:val="001A3ACD"/>
    <w:rsid w:val="001A5E8F"/>
    <w:rsid w:val="001C6D7B"/>
    <w:rsid w:val="001D1371"/>
    <w:rsid w:val="00206F45"/>
    <w:rsid w:val="00225EF4"/>
    <w:rsid w:val="002366DD"/>
    <w:rsid w:val="0025761A"/>
    <w:rsid w:val="0026420B"/>
    <w:rsid w:val="00276239"/>
    <w:rsid w:val="00291A04"/>
    <w:rsid w:val="00295C57"/>
    <w:rsid w:val="002A220F"/>
    <w:rsid w:val="002D2049"/>
    <w:rsid w:val="002E042D"/>
    <w:rsid w:val="002F660F"/>
    <w:rsid w:val="002F7139"/>
    <w:rsid w:val="0030128A"/>
    <w:rsid w:val="00347EEE"/>
    <w:rsid w:val="00353F28"/>
    <w:rsid w:val="003630D8"/>
    <w:rsid w:val="00374A82"/>
    <w:rsid w:val="00391BC0"/>
    <w:rsid w:val="003B0DCF"/>
    <w:rsid w:val="003B2C98"/>
    <w:rsid w:val="003C4CD8"/>
    <w:rsid w:val="003C7087"/>
    <w:rsid w:val="003C73AA"/>
    <w:rsid w:val="003D0496"/>
    <w:rsid w:val="00407E42"/>
    <w:rsid w:val="0043683E"/>
    <w:rsid w:val="00446988"/>
    <w:rsid w:val="00452A7A"/>
    <w:rsid w:val="00461A8F"/>
    <w:rsid w:val="00462913"/>
    <w:rsid w:val="00481198"/>
    <w:rsid w:val="00486770"/>
    <w:rsid w:val="004872CB"/>
    <w:rsid w:val="00487E23"/>
    <w:rsid w:val="00490D70"/>
    <w:rsid w:val="00496EC7"/>
    <w:rsid w:val="004A56FC"/>
    <w:rsid w:val="004F3451"/>
    <w:rsid w:val="004F5979"/>
    <w:rsid w:val="004F7307"/>
    <w:rsid w:val="00501A50"/>
    <w:rsid w:val="0050240C"/>
    <w:rsid w:val="00505372"/>
    <w:rsid w:val="00536636"/>
    <w:rsid w:val="005655FB"/>
    <w:rsid w:val="00571219"/>
    <w:rsid w:val="00572E3E"/>
    <w:rsid w:val="00586F50"/>
    <w:rsid w:val="00597586"/>
    <w:rsid w:val="005A5C12"/>
    <w:rsid w:val="005B52A2"/>
    <w:rsid w:val="005D7B31"/>
    <w:rsid w:val="005E3BD2"/>
    <w:rsid w:val="005F4E58"/>
    <w:rsid w:val="00600231"/>
    <w:rsid w:val="00603178"/>
    <w:rsid w:val="00610275"/>
    <w:rsid w:val="00612592"/>
    <w:rsid w:val="00621F5A"/>
    <w:rsid w:val="00627689"/>
    <w:rsid w:val="00633E57"/>
    <w:rsid w:val="00640CCB"/>
    <w:rsid w:val="0067703C"/>
    <w:rsid w:val="00690E94"/>
    <w:rsid w:val="006A435D"/>
    <w:rsid w:val="006A4F4F"/>
    <w:rsid w:val="006F7808"/>
    <w:rsid w:val="00702EDE"/>
    <w:rsid w:val="00726838"/>
    <w:rsid w:val="00743313"/>
    <w:rsid w:val="0074684C"/>
    <w:rsid w:val="007623F6"/>
    <w:rsid w:val="007B4A0C"/>
    <w:rsid w:val="007E2B74"/>
    <w:rsid w:val="007E780B"/>
    <w:rsid w:val="007F1156"/>
    <w:rsid w:val="007F4389"/>
    <w:rsid w:val="008134B2"/>
    <w:rsid w:val="008255BA"/>
    <w:rsid w:val="00840661"/>
    <w:rsid w:val="00865570"/>
    <w:rsid w:val="00886BA2"/>
    <w:rsid w:val="00887D35"/>
    <w:rsid w:val="008C6FBB"/>
    <w:rsid w:val="008E657D"/>
    <w:rsid w:val="008F6279"/>
    <w:rsid w:val="009429A6"/>
    <w:rsid w:val="00944C10"/>
    <w:rsid w:val="009454A6"/>
    <w:rsid w:val="0096205F"/>
    <w:rsid w:val="009649F4"/>
    <w:rsid w:val="009757C1"/>
    <w:rsid w:val="009B5368"/>
    <w:rsid w:val="009C7508"/>
    <w:rsid w:val="009F35FA"/>
    <w:rsid w:val="00A05C04"/>
    <w:rsid w:val="00A240E4"/>
    <w:rsid w:val="00A251B8"/>
    <w:rsid w:val="00A26363"/>
    <w:rsid w:val="00A37909"/>
    <w:rsid w:val="00A5100D"/>
    <w:rsid w:val="00A866DC"/>
    <w:rsid w:val="00AA7D59"/>
    <w:rsid w:val="00AE03C3"/>
    <w:rsid w:val="00AE2967"/>
    <w:rsid w:val="00B050FF"/>
    <w:rsid w:val="00B11696"/>
    <w:rsid w:val="00B36F58"/>
    <w:rsid w:val="00B76074"/>
    <w:rsid w:val="00B80877"/>
    <w:rsid w:val="00B81A10"/>
    <w:rsid w:val="00B864CD"/>
    <w:rsid w:val="00BB37B1"/>
    <w:rsid w:val="00BB744B"/>
    <w:rsid w:val="00BD4E51"/>
    <w:rsid w:val="00BE17C8"/>
    <w:rsid w:val="00C15D8E"/>
    <w:rsid w:val="00C218F2"/>
    <w:rsid w:val="00C245C2"/>
    <w:rsid w:val="00C43420"/>
    <w:rsid w:val="00C442F4"/>
    <w:rsid w:val="00C44ACD"/>
    <w:rsid w:val="00C53AFE"/>
    <w:rsid w:val="00C5678F"/>
    <w:rsid w:val="00C83F2E"/>
    <w:rsid w:val="00CC0DD7"/>
    <w:rsid w:val="00CD29FD"/>
    <w:rsid w:val="00CE2B52"/>
    <w:rsid w:val="00D107D2"/>
    <w:rsid w:val="00D16800"/>
    <w:rsid w:val="00D418C4"/>
    <w:rsid w:val="00D625F8"/>
    <w:rsid w:val="00DA2701"/>
    <w:rsid w:val="00DD2CA8"/>
    <w:rsid w:val="00DD72EB"/>
    <w:rsid w:val="00DE5EAD"/>
    <w:rsid w:val="00DF1588"/>
    <w:rsid w:val="00E10AE9"/>
    <w:rsid w:val="00E6006E"/>
    <w:rsid w:val="00E74185"/>
    <w:rsid w:val="00E8503B"/>
    <w:rsid w:val="00E856AA"/>
    <w:rsid w:val="00E96801"/>
    <w:rsid w:val="00EB108D"/>
    <w:rsid w:val="00EB16A1"/>
    <w:rsid w:val="00EB6EF4"/>
    <w:rsid w:val="00F106B3"/>
    <w:rsid w:val="00F26F9C"/>
    <w:rsid w:val="00F31999"/>
    <w:rsid w:val="00F46C16"/>
    <w:rsid w:val="00F53CAA"/>
    <w:rsid w:val="00F559C0"/>
    <w:rsid w:val="00F607D1"/>
    <w:rsid w:val="00F63032"/>
    <w:rsid w:val="00F6424A"/>
    <w:rsid w:val="00F67AD5"/>
    <w:rsid w:val="00F75DFB"/>
    <w:rsid w:val="00F816D4"/>
    <w:rsid w:val="00FA12CF"/>
    <w:rsid w:val="00FA3485"/>
    <w:rsid w:val="00FE1899"/>
    <w:rsid w:val="00FE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9581D"/>
  <w15:chartTrackingRefBased/>
  <w15:docId w15:val="{0C21DF14-B1AF-6D4E-A01F-B9316AAE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D7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D7B"/>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1C6D7B"/>
    <w:rPr>
      <w:sz w:val="16"/>
      <w:szCs w:val="16"/>
    </w:rPr>
  </w:style>
  <w:style w:type="paragraph" w:styleId="CommentText">
    <w:name w:val="annotation text"/>
    <w:basedOn w:val="Normal"/>
    <w:link w:val="CommentTextChar"/>
    <w:uiPriority w:val="99"/>
    <w:semiHidden/>
    <w:unhideWhenUsed/>
    <w:rsid w:val="001C6D7B"/>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C6D7B"/>
    <w:rPr>
      <w:sz w:val="20"/>
      <w:szCs w:val="20"/>
    </w:rPr>
  </w:style>
  <w:style w:type="table" w:styleId="TableGrid">
    <w:name w:val="Table Grid"/>
    <w:basedOn w:val="TableNormal"/>
    <w:uiPriority w:val="39"/>
    <w:rsid w:val="001C6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7586"/>
    <w:rPr>
      <w:sz w:val="18"/>
      <w:szCs w:val="18"/>
    </w:rPr>
  </w:style>
  <w:style w:type="character" w:customStyle="1" w:styleId="BalloonTextChar">
    <w:name w:val="Balloon Text Char"/>
    <w:basedOn w:val="DefaultParagraphFont"/>
    <w:link w:val="BalloonText"/>
    <w:uiPriority w:val="99"/>
    <w:semiHidden/>
    <w:rsid w:val="00597586"/>
    <w:rPr>
      <w:rFonts w:ascii="Times New Roman" w:eastAsia="Times New Roman" w:hAnsi="Times New Roman" w:cs="Times New Roman"/>
      <w:sz w:val="18"/>
      <w:szCs w:val="18"/>
    </w:rPr>
  </w:style>
  <w:style w:type="character" w:styleId="Hyperlink">
    <w:name w:val="Hyperlink"/>
    <w:basedOn w:val="DefaultParagraphFont"/>
    <w:uiPriority w:val="99"/>
    <w:unhideWhenUsed/>
    <w:rsid w:val="00AE2967"/>
    <w:rPr>
      <w:color w:val="0563C1" w:themeColor="hyperlink"/>
      <w:u w:val="single"/>
    </w:rPr>
  </w:style>
  <w:style w:type="character" w:customStyle="1" w:styleId="markedcontent">
    <w:name w:val="markedcontent"/>
    <w:basedOn w:val="DefaultParagraphFont"/>
    <w:rsid w:val="00AE03C3"/>
  </w:style>
  <w:style w:type="paragraph" w:styleId="CommentSubject">
    <w:name w:val="annotation subject"/>
    <w:basedOn w:val="CommentText"/>
    <w:next w:val="CommentText"/>
    <w:link w:val="CommentSubjectChar"/>
    <w:uiPriority w:val="99"/>
    <w:semiHidden/>
    <w:unhideWhenUsed/>
    <w:rsid w:val="00064367"/>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064367"/>
    <w:rPr>
      <w:rFonts w:ascii="Times New Roman" w:eastAsia="Times New Roman" w:hAnsi="Times New Roman" w:cs="Times New Roman"/>
      <w:b/>
      <w:bCs/>
      <w:sz w:val="20"/>
      <w:szCs w:val="20"/>
    </w:rPr>
  </w:style>
  <w:style w:type="paragraph" w:styleId="Bibliography">
    <w:name w:val="Bibliography"/>
    <w:basedOn w:val="Normal"/>
    <w:next w:val="Normal"/>
    <w:uiPriority w:val="37"/>
    <w:unhideWhenUsed/>
    <w:rsid w:val="00C442F4"/>
    <w:pPr>
      <w:ind w:left="720" w:hanging="720"/>
    </w:pPr>
  </w:style>
  <w:style w:type="paragraph" w:styleId="Footer">
    <w:name w:val="footer"/>
    <w:basedOn w:val="Normal"/>
    <w:link w:val="FooterChar"/>
    <w:uiPriority w:val="99"/>
    <w:unhideWhenUsed/>
    <w:rsid w:val="001A3ACD"/>
    <w:pPr>
      <w:tabs>
        <w:tab w:val="center" w:pos="4680"/>
        <w:tab w:val="right" w:pos="9360"/>
      </w:tabs>
    </w:pPr>
  </w:style>
  <w:style w:type="character" w:customStyle="1" w:styleId="FooterChar">
    <w:name w:val="Footer Char"/>
    <w:basedOn w:val="DefaultParagraphFont"/>
    <w:link w:val="Footer"/>
    <w:uiPriority w:val="99"/>
    <w:rsid w:val="001A3ACD"/>
    <w:rPr>
      <w:rFonts w:ascii="Times New Roman" w:eastAsia="Times New Roman" w:hAnsi="Times New Roman" w:cs="Times New Roman"/>
    </w:rPr>
  </w:style>
  <w:style w:type="character" w:styleId="PageNumber">
    <w:name w:val="page number"/>
    <w:basedOn w:val="DefaultParagraphFont"/>
    <w:uiPriority w:val="99"/>
    <w:semiHidden/>
    <w:unhideWhenUsed/>
    <w:rsid w:val="001A3ACD"/>
  </w:style>
  <w:style w:type="paragraph" w:styleId="Revision">
    <w:name w:val="Revision"/>
    <w:hidden/>
    <w:uiPriority w:val="99"/>
    <w:semiHidden/>
    <w:rsid w:val="00C5678F"/>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65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37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danbelsky/DunedinPA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gsp.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8743</Words>
  <Characters>49838</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Belsky, Daniel</dc:creator>
  <cp:keywords/>
  <dc:description/>
  <cp:lastModifiedBy>Belsky, Daniel</cp:lastModifiedBy>
  <cp:revision>2</cp:revision>
  <dcterms:created xsi:type="dcterms:W3CDTF">2022-01-10T13:07:00Z</dcterms:created>
  <dcterms:modified xsi:type="dcterms:W3CDTF">2022-01-10T13:07:00Z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id="j6rCr4Ma"/&gt;&lt;style id="http://www.zotero.org/styles/elife" hasBibliography="1" bibliographyStyleHasBeenSet="1"/&gt;&lt;prefs&gt;&lt;pref name="fieldType" value="Field"/&gt;&lt;/prefs&gt;&lt;/data&gt;</vt:lpwstr>
  </property>
</Properties>
</file>