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3EF20" w14:textId="77777777" w:rsidR="009D6361" w:rsidRPr="00B64F60" w:rsidRDefault="009D6361" w:rsidP="009D6361">
      <w:pPr>
        <w:rPr>
          <w:rFonts w:ascii="Arial" w:hAnsi="Arial" w:cs="Arial"/>
          <w:b/>
          <w:bCs/>
        </w:rPr>
      </w:pPr>
      <w:r w:rsidRPr="00B64F60">
        <w:rPr>
          <w:rFonts w:ascii="Arial" w:hAnsi="Arial" w:cs="Arial"/>
          <w:b/>
          <w:bCs/>
        </w:rPr>
        <w:t>A</w:t>
      </w:r>
    </w:p>
    <w:p w14:paraId="5BC95E03" w14:textId="77777777" w:rsidR="009D6361" w:rsidRDefault="009D6361" w:rsidP="009D636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5F07A85" wp14:editId="35992B2A">
            <wp:extent cx="2657475" cy="4394455"/>
            <wp:effectExtent l="0" t="0" r="0" b="6350"/>
            <wp:docPr id="5" name="Picture 5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472" cy="440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019C4D8" wp14:editId="07A18377">
            <wp:extent cx="2510991" cy="4019550"/>
            <wp:effectExtent l="0" t="0" r="381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30" cy="4033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88C8E" w14:textId="77777777" w:rsidR="009D6361" w:rsidRPr="00B64F60" w:rsidRDefault="009D6361" w:rsidP="009D6361">
      <w:pPr>
        <w:rPr>
          <w:rFonts w:ascii="Arial" w:hAnsi="Arial" w:cs="Arial"/>
          <w:b/>
          <w:bCs/>
        </w:rPr>
      </w:pPr>
      <w:r w:rsidRPr="00B64F60">
        <w:rPr>
          <w:rFonts w:ascii="Arial" w:hAnsi="Arial" w:cs="Arial"/>
          <w:b/>
          <w:bCs/>
        </w:rPr>
        <w:t>B</w:t>
      </w:r>
    </w:p>
    <w:p w14:paraId="49A4F9E7" w14:textId="77777777" w:rsidR="009D6361" w:rsidRDefault="009D6361" w:rsidP="009D636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A3D1C68" wp14:editId="7577BA1D">
            <wp:extent cx="2906805" cy="3200281"/>
            <wp:effectExtent l="0" t="0" r="8255" b="635"/>
            <wp:docPr id="4" name="Picture 4" descr="Chart, scatter 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scatter 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186" cy="320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D2BDFCD" wp14:editId="67357949">
            <wp:extent cx="2752725" cy="3030644"/>
            <wp:effectExtent l="0" t="0" r="0" b="0"/>
            <wp:docPr id="9" name="Picture 9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scatt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87" cy="304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3F659" w14:textId="77777777" w:rsidR="009D6361" w:rsidRDefault="009D6361" w:rsidP="009D6361">
      <w:pPr>
        <w:rPr>
          <w:rFonts w:ascii="Arial" w:hAnsi="Arial" w:cs="Arial"/>
          <w:sz w:val="32"/>
          <w:szCs w:val="32"/>
        </w:rPr>
      </w:pPr>
    </w:p>
    <w:p w14:paraId="6DDE8F98" w14:textId="057C41D9" w:rsidR="009D6361" w:rsidRDefault="009D6361" w:rsidP="009D6361">
      <w:pPr>
        <w:spacing w:line="360" w:lineRule="auto"/>
        <w:jc w:val="both"/>
      </w:pPr>
      <w:r w:rsidRPr="000B6E7F">
        <w:rPr>
          <w:b/>
          <w:bCs/>
        </w:rPr>
        <w:lastRenderedPageBreak/>
        <w:t>Figure S</w:t>
      </w:r>
      <w:r>
        <w:rPr>
          <w:b/>
          <w:bCs/>
        </w:rPr>
        <w:t>2</w:t>
      </w:r>
      <w:r>
        <w:rPr>
          <w:b/>
          <w:bCs/>
        </w:rPr>
        <w:t xml:space="preserve"> (Figure 1 – Figure Supplement 1)</w:t>
      </w:r>
      <w:r w:rsidRPr="000B6E7F">
        <w:t xml:space="preserve">. </w:t>
      </w:r>
      <w:r w:rsidRPr="00B64F60">
        <w:rPr>
          <w:b/>
          <w:bCs/>
        </w:rPr>
        <w:t>Bioinformatic analysis of expression of CD73 (</w:t>
      </w:r>
      <w:r w:rsidRPr="00B64F60">
        <w:rPr>
          <w:b/>
          <w:bCs/>
          <w:i/>
          <w:iCs/>
        </w:rPr>
        <w:t>NT5E</w:t>
      </w:r>
      <w:r w:rsidRPr="00B64F60">
        <w:rPr>
          <w:b/>
          <w:bCs/>
        </w:rPr>
        <w:t>) in NSCLC and SCLC.</w:t>
      </w:r>
      <w:r>
        <w:t xml:space="preserve"> (A) </w:t>
      </w:r>
      <w:r w:rsidRPr="00B64F60">
        <w:rPr>
          <w:i/>
          <w:iCs/>
        </w:rPr>
        <w:t>NT5E</w:t>
      </w:r>
      <w:r>
        <w:t xml:space="preserve"> expression in (</w:t>
      </w:r>
      <w:r w:rsidRPr="00B64F60">
        <w:rPr>
          <w:i/>
          <w:iCs/>
        </w:rPr>
        <w:t>left</w:t>
      </w:r>
      <w:r>
        <w:t>) NSCLC</w:t>
      </w:r>
      <w:r w:rsidRPr="00B64F60">
        <w:rPr>
          <w:vertAlign w:val="superscript"/>
        </w:rPr>
        <w:t>1</w:t>
      </w:r>
      <w:r>
        <w:t xml:space="preserve"> and (</w:t>
      </w:r>
      <w:r w:rsidRPr="00B64F60">
        <w:rPr>
          <w:i/>
          <w:iCs/>
        </w:rPr>
        <w:t>right</w:t>
      </w:r>
      <w:r>
        <w:t>) SCLC</w:t>
      </w:r>
      <w:r w:rsidRPr="00B64F60">
        <w:rPr>
          <w:vertAlign w:val="superscript"/>
        </w:rPr>
        <w:t>2</w:t>
      </w:r>
      <w:r>
        <w:t xml:space="preserve"> TCGA databases. (B) </w:t>
      </w:r>
      <w:r w:rsidRPr="00B64F60">
        <w:rPr>
          <w:i/>
          <w:iCs/>
        </w:rPr>
        <w:t>NT5E</w:t>
      </w:r>
      <w:r>
        <w:t xml:space="preserve"> expression in (</w:t>
      </w:r>
      <w:r w:rsidRPr="00B64F60">
        <w:rPr>
          <w:i/>
          <w:iCs/>
        </w:rPr>
        <w:t>left</w:t>
      </w:r>
      <w:r>
        <w:t>) NSCLC</w:t>
      </w:r>
      <w:r w:rsidRPr="00B64F60">
        <w:rPr>
          <w:vertAlign w:val="superscript"/>
        </w:rPr>
        <w:t>1</w:t>
      </w:r>
      <w:r>
        <w:t xml:space="preserve"> and (</w:t>
      </w:r>
      <w:r w:rsidRPr="00B64F60">
        <w:rPr>
          <w:i/>
          <w:iCs/>
        </w:rPr>
        <w:t>right</w:t>
      </w:r>
      <w:r>
        <w:t>) SCLC</w:t>
      </w:r>
      <w:r w:rsidRPr="00B64F60">
        <w:rPr>
          <w:vertAlign w:val="superscript"/>
        </w:rPr>
        <w:t>2</w:t>
      </w:r>
      <w:r>
        <w:t xml:space="preserve"> TCGA databases stratified by sex.</w:t>
      </w:r>
    </w:p>
    <w:p w14:paraId="0E379D34" w14:textId="77777777" w:rsidR="009D6361" w:rsidRPr="00F7592E" w:rsidRDefault="009D6361" w:rsidP="009D6361">
      <w:pPr>
        <w:spacing w:line="360" w:lineRule="auto"/>
        <w:jc w:val="both"/>
      </w:pPr>
      <w:r w:rsidRPr="00F7592E">
        <w:rPr>
          <w:vertAlign w:val="superscript"/>
        </w:rPr>
        <w:t>1</w:t>
      </w:r>
      <w:r w:rsidRPr="00F7592E">
        <w:t>TCGA, Firehose Legacy – 230 patients with RNA-seq data</w:t>
      </w:r>
    </w:p>
    <w:p w14:paraId="0696856C" w14:textId="77777777" w:rsidR="009D6361" w:rsidRPr="00F7592E" w:rsidRDefault="009D6361" w:rsidP="009D6361">
      <w:pPr>
        <w:spacing w:line="360" w:lineRule="auto"/>
      </w:pPr>
      <w:r w:rsidRPr="00F7592E">
        <w:rPr>
          <w:vertAlign w:val="superscript"/>
        </w:rPr>
        <w:t>2</w:t>
      </w:r>
      <w:r w:rsidRPr="00F7592E">
        <w:t>U Cologne, Nature 2015) – 81 patients with RNA-seq data</w:t>
      </w:r>
    </w:p>
    <w:p w14:paraId="5D32315C" w14:textId="49F42594" w:rsidR="0072428D" w:rsidRPr="009D6361" w:rsidRDefault="009D6361" w:rsidP="009D6361">
      <w:pPr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b/>
          <w:bCs/>
        </w:rPr>
        <w:t xml:space="preserve"> </w:t>
      </w:r>
    </w:p>
    <w:sectPr w:rsidR="0072428D" w:rsidRPr="009D6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FD"/>
    <w:rsid w:val="000570B0"/>
    <w:rsid w:val="00323541"/>
    <w:rsid w:val="003528CC"/>
    <w:rsid w:val="006432B4"/>
    <w:rsid w:val="00816700"/>
    <w:rsid w:val="00886E95"/>
    <w:rsid w:val="009B2AFD"/>
    <w:rsid w:val="009D6361"/>
    <w:rsid w:val="00B214DF"/>
    <w:rsid w:val="00C15BD4"/>
    <w:rsid w:val="00D33493"/>
    <w:rsid w:val="00E17C18"/>
    <w:rsid w:val="00E45DB3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4695"/>
  <w15:chartTrackingRefBased/>
  <w15:docId w15:val="{956909F7-7D26-43CE-9491-9C80A7D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Matosevic</dc:creator>
  <cp:keywords/>
  <dc:description/>
  <cp:lastModifiedBy>Sandro Matosevic</cp:lastModifiedBy>
  <cp:revision>2</cp:revision>
  <dcterms:created xsi:type="dcterms:W3CDTF">2022-06-08T02:19:00Z</dcterms:created>
  <dcterms:modified xsi:type="dcterms:W3CDTF">2022-06-08T02:19:00Z</dcterms:modified>
</cp:coreProperties>
</file>