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C156" w14:textId="27995526" w:rsidR="00F86FB6" w:rsidRPr="006806E6" w:rsidRDefault="00F86FB6" w:rsidP="00F86F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ja-JP"/>
        </w:rPr>
      </w:pPr>
      <w:r w:rsidRPr="0027216B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ja-JP"/>
        </w:rPr>
        <w:t xml:space="preserve">Supplementary </w:t>
      </w:r>
      <w:r w:rsidR="007D6621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ja-JP"/>
        </w:rPr>
        <w:t>File</w:t>
      </w:r>
      <w:r w:rsidRPr="0027216B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ja-JP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ja-JP"/>
        </w:rPr>
        <w:t>4</w:t>
      </w:r>
      <w:r w:rsidRPr="0027216B">
        <w:rPr>
          <w:rFonts w:ascii="Times New Roman" w:eastAsiaTheme="minorEastAsia" w:hAnsi="Times New Roman" w:cs="Times New Roman"/>
          <w:b/>
          <w:sz w:val="24"/>
          <w:szCs w:val="24"/>
          <w:lang w:val="en-US" w:eastAsia="ja-JP"/>
        </w:rPr>
        <w:t>:</w:t>
      </w:r>
      <w:r w:rsidRPr="00272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Analysis of electrically evoked calcium transients in single FDB muscle fibers isolated from </w:t>
      </w:r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WT and </w:t>
      </w:r>
      <w:proofErr w:type="spellStart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dHT</w:t>
      </w:r>
      <w:proofErr w:type="spellEnd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</w:t>
      </w:r>
      <w:r w:rsidRPr="0027216B">
        <w:rPr>
          <w:rFonts w:ascii="Times New Roman" w:hAnsi="Times New Roman" w:cs="Times New Roman"/>
          <w:sz w:val="24"/>
          <w:szCs w:val="24"/>
          <w:lang w:val="en-US"/>
        </w:rPr>
        <w:t>littermates</w:t>
      </w:r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, treated with vehicle or TMP269+5-Aza</w:t>
      </w:r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 (25 mg/Kg) for 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 weeks. </w:t>
      </w:r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*p&lt;0.05 </w:t>
      </w:r>
      <w:proofErr w:type="spellStart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dHT</w:t>
      </w:r>
      <w:proofErr w:type="spellEnd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vs </w:t>
      </w:r>
      <w:proofErr w:type="gramStart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WT;</w:t>
      </w:r>
      <w:r w:rsidRPr="0027216B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ja-JP"/>
        </w:rPr>
        <w:t>¶</w:t>
      </w:r>
      <w:proofErr w:type="gramEnd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p&lt;0.05 </w:t>
      </w:r>
      <w:proofErr w:type="spellStart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dHT</w:t>
      </w:r>
      <w:proofErr w:type="spellEnd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vehicle vs </w:t>
      </w:r>
      <w:proofErr w:type="spellStart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dHT</w:t>
      </w:r>
      <w:proofErr w:type="spellEnd"/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TMP269+5-Aza (ANOVA followed by the Bonferroni post hoc test).</w:t>
      </w:r>
    </w:p>
    <w:tbl>
      <w:tblPr>
        <w:tblStyle w:val="TableGrid"/>
        <w:tblpPr w:leftFromText="180" w:rightFromText="180" w:vertAnchor="page" w:horzAnchor="margin" w:tblpXSpec="center" w:tblpY="2968"/>
        <w:tblW w:w="10703" w:type="dxa"/>
        <w:tblLook w:val="04A0" w:firstRow="1" w:lastRow="0" w:firstColumn="1" w:lastColumn="0" w:noHBand="0" w:noVBand="1"/>
      </w:tblPr>
      <w:tblGrid>
        <w:gridCol w:w="836"/>
        <w:gridCol w:w="1087"/>
        <w:gridCol w:w="1417"/>
        <w:gridCol w:w="1383"/>
        <w:gridCol w:w="1495"/>
        <w:gridCol w:w="1495"/>
        <w:gridCol w:w="1495"/>
        <w:gridCol w:w="1495"/>
      </w:tblGrid>
      <w:tr w:rsidR="00F86FB6" w:rsidRPr="007D6621" w14:paraId="06E549BC" w14:textId="77777777" w:rsidTr="00BB25BD">
        <w:trPr>
          <w:gridBefore w:val="1"/>
          <w:wBefore w:w="814" w:type="dxa"/>
          <w:trHeight w:val="1405"/>
        </w:trPr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9BDEE3D" w14:textId="77777777" w:rsidR="00F86FB6" w:rsidRP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top w:val="single" w:sz="18" w:space="0" w:color="000000"/>
              <w:bottom w:val="single" w:sz="18" w:space="0" w:color="000000"/>
            </w:tcBorders>
          </w:tcPr>
          <w:p w14:paraId="26696684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1549" w:type="dxa"/>
            <w:tcBorders>
              <w:top w:val="single" w:sz="18" w:space="0" w:color="000000"/>
              <w:bottom w:val="single" w:sz="18" w:space="0" w:color="000000"/>
            </w:tcBorders>
          </w:tcPr>
          <w:p w14:paraId="348E8CF4" w14:textId="77777777" w:rsidR="00F86FB6" w:rsidRP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6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mice/N° of fibers analyzed</w:t>
            </w:r>
          </w:p>
        </w:tc>
        <w:tc>
          <w:tcPr>
            <w:tcW w:w="1446" w:type="dxa"/>
            <w:tcBorders>
              <w:top w:val="single" w:sz="18" w:space="0" w:color="000000"/>
              <w:bottom w:val="single" w:sz="18" w:space="0" w:color="000000"/>
            </w:tcBorders>
          </w:tcPr>
          <w:p w14:paraId="5BC22C8E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∆F/F </w:t>
            </w:r>
          </w:p>
          <w:p w14:paraId="43341B1A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7216B">
              <w:rPr>
                <w:rFonts w:ascii="Times New Roman" w:hAnsi="Times New Roman" w:cs="Times New Roman"/>
                <w:b/>
                <w:sz w:val="24"/>
                <w:szCs w:val="24"/>
              </w:rPr>
              <w:t>mean±S.D</w:t>
            </w:r>
            <w:proofErr w:type="spellEnd"/>
            <w:r w:rsidRPr="0027216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46" w:type="dxa"/>
            <w:tcBorders>
              <w:top w:val="single" w:sz="18" w:space="0" w:color="000000"/>
              <w:bottom w:val="single" w:sz="18" w:space="0" w:color="000000"/>
            </w:tcBorders>
          </w:tcPr>
          <w:p w14:paraId="41009447" w14:textId="77777777" w:rsidR="00F86FB6" w:rsidRP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6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TTP msec </w:t>
            </w:r>
          </w:p>
          <w:p w14:paraId="4E454DD8" w14:textId="77777777" w:rsidR="00F86FB6" w:rsidRP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6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(mean±S.D.)</w:t>
            </w:r>
          </w:p>
        </w:tc>
        <w:tc>
          <w:tcPr>
            <w:tcW w:w="1446" w:type="dxa"/>
            <w:tcBorders>
              <w:top w:val="single" w:sz="18" w:space="0" w:color="000000"/>
              <w:bottom w:val="single" w:sz="18" w:space="0" w:color="000000"/>
            </w:tcBorders>
          </w:tcPr>
          <w:p w14:paraId="53C84071" w14:textId="77777777" w:rsidR="00F86FB6" w:rsidRP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6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 ms</w:t>
            </w:r>
          </w:p>
          <w:p w14:paraId="445D1B3F" w14:textId="77777777" w:rsidR="00F86FB6" w:rsidRP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6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(mean±S.D.)</w:t>
            </w:r>
          </w:p>
        </w:tc>
        <w:tc>
          <w:tcPr>
            <w:tcW w:w="1446" w:type="dxa"/>
            <w:tcBorders>
              <w:top w:val="single" w:sz="18" w:space="0" w:color="000000"/>
              <w:right w:val="single" w:sz="18" w:space="0" w:color="000000"/>
            </w:tcBorders>
          </w:tcPr>
          <w:p w14:paraId="42EB24D1" w14:textId="77777777" w:rsidR="00F86FB6" w:rsidRP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6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HRT ms</w:t>
            </w:r>
          </w:p>
          <w:p w14:paraId="51F0331A" w14:textId="77777777" w:rsidR="00F86FB6" w:rsidRP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6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(mean±S.D.)</w:t>
            </w:r>
          </w:p>
        </w:tc>
      </w:tr>
      <w:tr w:rsidR="00F86FB6" w:rsidRPr="0027216B" w14:paraId="22936FD7" w14:textId="77777777" w:rsidTr="00BB25BD">
        <w:trPr>
          <w:trHeight w:val="1128"/>
        </w:trPr>
        <w:tc>
          <w:tcPr>
            <w:tcW w:w="8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extDirection w:val="btLr"/>
          </w:tcPr>
          <w:p w14:paraId="254A6A3F" w14:textId="77777777" w:rsidR="00F86FB6" w:rsidRPr="0027216B" w:rsidRDefault="00F86FB6" w:rsidP="00BB25BD">
            <w:pPr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216B">
              <w:rPr>
                <w:rFonts w:ascii="Times New Roman" w:hAnsi="Times New Roman" w:cs="Times New Roman"/>
                <w:b/>
                <w:sz w:val="24"/>
                <w:szCs w:val="24"/>
              </w:rPr>
              <w:t>Twitch</w:t>
            </w:r>
            <w:proofErr w:type="spellEnd"/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32DAA829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ind w:left="115" w:right="115"/>
              <w:jc w:val="center"/>
              <w:rPr>
                <w:strike/>
              </w:rPr>
            </w:pPr>
          </w:p>
          <w:p w14:paraId="09720C5B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ind w:left="115" w:right="115"/>
              <w:jc w:val="center"/>
            </w:pPr>
            <w:r w:rsidRPr="0027216B">
              <w:t>WT</w:t>
            </w:r>
          </w:p>
          <w:p w14:paraId="7750C244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ind w:left="115" w:right="115"/>
              <w:jc w:val="center"/>
              <w:rPr>
                <w:strike/>
              </w:rPr>
            </w:pPr>
          </w:p>
        </w:tc>
        <w:tc>
          <w:tcPr>
            <w:tcW w:w="1340" w:type="dxa"/>
            <w:tcBorders>
              <w:top w:val="single" w:sz="18" w:space="0" w:color="000000"/>
            </w:tcBorders>
            <w:shd w:val="clear" w:color="auto" w:fill="auto"/>
          </w:tcPr>
          <w:p w14:paraId="7039A848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</w:pPr>
            <w:r w:rsidRPr="0027216B">
              <w:rPr>
                <w:color w:val="000000" w:themeColor="text1"/>
                <w:kern w:val="24"/>
              </w:rPr>
              <w:t>Vehicle</w:t>
            </w:r>
          </w:p>
          <w:p w14:paraId="6EF9BC7A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</w:pPr>
            <w:r w:rsidRPr="0027216B">
              <w:rPr>
                <w:color w:val="000000" w:themeColor="text1"/>
                <w:kern w:val="24"/>
              </w:rPr>
              <w:t>(NMP/PEG)</w:t>
            </w:r>
          </w:p>
        </w:tc>
        <w:tc>
          <w:tcPr>
            <w:tcW w:w="1549" w:type="dxa"/>
            <w:tcBorders>
              <w:top w:val="single" w:sz="18" w:space="0" w:color="000000"/>
            </w:tcBorders>
            <w:shd w:val="clear" w:color="auto" w:fill="auto"/>
          </w:tcPr>
          <w:p w14:paraId="7DC08AEE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4</w:t>
            </w:r>
          </w:p>
          <w:p w14:paraId="5E9EBAFB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(n=91)</w:t>
            </w:r>
          </w:p>
        </w:tc>
        <w:tc>
          <w:tcPr>
            <w:tcW w:w="1446" w:type="dxa"/>
            <w:tcBorders>
              <w:top w:val="single" w:sz="18" w:space="0" w:color="000000"/>
            </w:tcBorders>
            <w:shd w:val="clear" w:color="auto" w:fill="auto"/>
          </w:tcPr>
          <w:p w14:paraId="0A780607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1.38±0.30</w:t>
            </w:r>
          </w:p>
        </w:tc>
        <w:tc>
          <w:tcPr>
            <w:tcW w:w="1446" w:type="dxa"/>
            <w:tcBorders>
              <w:top w:val="single" w:sz="18" w:space="0" w:color="000000"/>
            </w:tcBorders>
            <w:shd w:val="clear" w:color="auto" w:fill="auto"/>
          </w:tcPr>
          <w:p w14:paraId="398C0206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1.29±0.90</w:t>
            </w:r>
          </w:p>
        </w:tc>
        <w:tc>
          <w:tcPr>
            <w:tcW w:w="1446" w:type="dxa"/>
            <w:tcBorders>
              <w:top w:val="single" w:sz="18" w:space="0" w:color="000000"/>
            </w:tcBorders>
            <w:shd w:val="clear" w:color="auto" w:fill="auto"/>
          </w:tcPr>
          <w:p w14:paraId="4B3684F5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0.80±0.27</w:t>
            </w:r>
          </w:p>
        </w:tc>
        <w:tc>
          <w:tcPr>
            <w:tcW w:w="144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0597909C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2.06±1.75</w:t>
            </w:r>
          </w:p>
        </w:tc>
      </w:tr>
      <w:tr w:rsidR="00F86FB6" w:rsidRPr="0027216B" w14:paraId="4C081763" w14:textId="77777777" w:rsidTr="00BB25BD">
        <w:trPr>
          <w:trHeight w:val="678"/>
        </w:trPr>
        <w:tc>
          <w:tcPr>
            <w:tcW w:w="813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extDirection w:val="btLr"/>
          </w:tcPr>
          <w:p w14:paraId="0D36434E" w14:textId="77777777" w:rsidR="00F86FB6" w:rsidRPr="0027216B" w:rsidRDefault="00F86FB6" w:rsidP="00BB25BD">
            <w:pPr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18" w:space="0" w:color="000000"/>
            </w:tcBorders>
          </w:tcPr>
          <w:p w14:paraId="75C0C3A6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EBFF8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16B">
              <w:rPr>
                <w:rFonts w:ascii="Times New Roman" w:hAnsi="Times New Roman" w:cs="Times New Roman"/>
                <w:sz w:val="24"/>
                <w:szCs w:val="24"/>
              </w:rPr>
              <w:t>dHT</w:t>
            </w:r>
            <w:proofErr w:type="spellEnd"/>
          </w:p>
        </w:tc>
        <w:tc>
          <w:tcPr>
            <w:tcW w:w="1340" w:type="dxa"/>
          </w:tcPr>
          <w:p w14:paraId="59B79949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</w:pPr>
            <w:r w:rsidRPr="0027216B">
              <w:rPr>
                <w:color w:val="000000" w:themeColor="text1"/>
                <w:kern w:val="24"/>
              </w:rPr>
              <w:t>Vehicle</w:t>
            </w:r>
          </w:p>
          <w:p w14:paraId="738059A9" w14:textId="77777777" w:rsidR="00F86FB6" w:rsidRPr="00F86FB6" w:rsidRDefault="00F86FB6" w:rsidP="00BB25BD">
            <w:pPr>
              <w:spacing w:after="20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F86FB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(NMP/PEG)</w:t>
            </w:r>
          </w:p>
          <w:p w14:paraId="1DFCA7ED" w14:textId="77777777" w:rsidR="00F86FB6" w:rsidRPr="00F86FB6" w:rsidRDefault="00F86FB6" w:rsidP="00BB25BD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FB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(P value)</w:t>
            </w:r>
          </w:p>
        </w:tc>
        <w:tc>
          <w:tcPr>
            <w:tcW w:w="1549" w:type="dxa"/>
          </w:tcPr>
          <w:p w14:paraId="00C2E892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6</w:t>
            </w:r>
          </w:p>
          <w:p w14:paraId="5060E8BA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(n=110)</w:t>
            </w:r>
          </w:p>
        </w:tc>
        <w:tc>
          <w:tcPr>
            <w:tcW w:w="1446" w:type="dxa"/>
          </w:tcPr>
          <w:p w14:paraId="30CD108C" w14:textId="77777777" w:rsid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*0.98±0.22</w:t>
            </w:r>
          </w:p>
          <w:p w14:paraId="46009C28" w14:textId="77777777" w:rsid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8772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(P=0.038)</w:t>
            </w:r>
          </w:p>
        </w:tc>
        <w:tc>
          <w:tcPr>
            <w:tcW w:w="1446" w:type="dxa"/>
          </w:tcPr>
          <w:p w14:paraId="0B1FDCE2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1.29±0.65</w:t>
            </w:r>
          </w:p>
        </w:tc>
        <w:tc>
          <w:tcPr>
            <w:tcW w:w="1446" w:type="dxa"/>
          </w:tcPr>
          <w:p w14:paraId="606993FB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0.78±0.27</w:t>
            </w:r>
          </w:p>
        </w:tc>
        <w:tc>
          <w:tcPr>
            <w:tcW w:w="1446" w:type="dxa"/>
            <w:tcBorders>
              <w:right w:val="single" w:sz="18" w:space="0" w:color="000000"/>
            </w:tcBorders>
          </w:tcPr>
          <w:p w14:paraId="4D5EE1C5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2.07±1.20</w:t>
            </w:r>
          </w:p>
        </w:tc>
      </w:tr>
      <w:tr w:rsidR="00F86FB6" w:rsidRPr="0027216B" w14:paraId="559CB8D2" w14:textId="77777777" w:rsidTr="00BB25BD">
        <w:trPr>
          <w:trHeight w:val="514"/>
        </w:trPr>
        <w:tc>
          <w:tcPr>
            <w:tcW w:w="813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14:paraId="6D75FC1E" w14:textId="77777777" w:rsidR="00F86FB6" w:rsidRPr="0027216B" w:rsidRDefault="00F86FB6" w:rsidP="00BB25BD">
            <w:pPr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255EBDB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ind w:left="115" w:right="115"/>
              <w:jc w:val="center"/>
            </w:pPr>
            <w:proofErr w:type="spellStart"/>
            <w:r w:rsidRPr="0027216B">
              <w:rPr>
                <w:color w:val="000000" w:themeColor="text1"/>
                <w:kern w:val="24"/>
              </w:rPr>
              <w:t>dHT</w:t>
            </w:r>
            <w:proofErr w:type="spellEnd"/>
          </w:p>
        </w:tc>
        <w:tc>
          <w:tcPr>
            <w:tcW w:w="1340" w:type="dxa"/>
            <w:tcBorders>
              <w:bottom w:val="single" w:sz="18" w:space="0" w:color="000000"/>
            </w:tcBorders>
          </w:tcPr>
          <w:p w14:paraId="15460C33" w14:textId="77777777" w:rsidR="00F86FB6" w:rsidRDefault="00F86FB6" w:rsidP="00BB25BD">
            <w:pPr>
              <w:pStyle w:val="NormalWeb"/>
              <w:spacing w:before="0" w:beforeAutospacing="0" w:after="200" w:afterAutospacing="0"/>
              <w:rPr>
                <w:color w:val="000000" w:themeColor="text1"/>
                <w:kern w:val="24"/>
              </w:rPr>
            </w:pPr>
            <w:r w:rsidRPr="0027216B">
              <w:rPr>
                <w:color w:val="000000" w:themeColor="text1"/>
                <w:kern w:val="24"/>
              </w:rPr>
              <w:t>TMP269 +5Aza</w:t>
            </w:r>
          </w:p>
          <w:p w14:paraId="3B4EB9A0" w14:textId="77777777" w:rsidR="00F86FB6" w:rsidRPr="00E94144" w:rsidRDefault="00F86FB6" w:rsidP="00BB25BD">
            <w:pPr>
              <w:pStyle w:val="NormalWeb"/>
              <w:spacing w:before="0" w:beforeAutospacing="0" w:after="200" w:afterAutospacing="0"/>
              <w:rPr>
                <w:color w:val="000000" w:themeColor="text1"/>
                <w:kern w:val="24"/>
              </w:rPr>
            </w:pPr>
            <w:r>
              <w:t>(P value)</w:t>
            </w:r>
          </w:p>
        </w:tc>
        <w:tc>
          <w:tcPr>
            <w:tcW w:w="1549" w:type="dxa"/>
            <w:tcBorders>
              <w:bottom w:val="single" w:sz="18" w:space="0" w:color="000000"/>
            </w:tcBorders>
          </w:tcPr>
          <w:p w14:paraId="5633F256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5</w:t>
            </w:r>
          </w:p>
          <w:p w14:paraId="21E4A476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(n=155)</w:t>
            </w:r>
          </w:p>
        </w:tc>
        <w:tc>
          <w:tcPr>
            <w:tcW w:w="1446" w:type="dxa"/>
            <w:tcBorders>
              <w:bottom w:val="single" w:sz="18" w:space="0" w:color="000000"/>
            </w:tcBorders>
          </w:tcPr>
          <w:p w14:paraId="5B8606D3" w14:textId="77777777" w:rsidR="00F86FB6" w:rsidRDefault="00F86FB6" w:rsidP="00BB25BD">
            <w:pPr>
              <w:pStyle w:val="NormalWeb"/>
              <w:spacing w:before="0" w:beforeAutospacing="0" w:after="200" w:afterAutospacing="0"/>
              <w:jc w:val="center"/>
              <w:rPr>
                <w:color w:val="000000" w:themeColor="text1"/>
                <w:kern w:val="24"/>
              </w:rPr>
            </w:pPr>
            <w:r w:rsidRPr="0027216B">
              <w:rPr>
                <w:rFonts w:eastAsiaTheme="minorEastAsia"/>
                <w:vertAlign w:val="superscript"/>
                <w:lang w:bidi="ar-SA"/>
              </w:rPr>
              <w:t>¶</w:t>
            </w:r>
            <w:r w:rsidRPr="0027216B">
              <w:rPr>
                <w:color w:val="000000" w:themeColor="text1"/>
                <w:kern w:val="24"/>
              </w:rPr>
              <w:t>1.21±0.28</w:t>
            </w:r>
          </w:p>
          <w:p w14:paraId="3FC0C330" w14:textId="77777777" w:rsidR="00F86FB6" w:rsidRDefault="00F86FB6" w:rsidP="00BB25BD">
            <w:pPr>
              <w:pStyle w:val="NormalWeb"/>
              <w:spacing w:before="0" w:beforeAutospacing="0" w:after="200" w:afterAutospacing="0"/>
            </w:pPr>
          </w:p>
          <w:p w14:paraId="610CEFE9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>
              <w:t>(P=0.043)</w:t>
            </w:r>
          </w:p>
        </w:tc>
        <w:tc>
          <w:tcPr>
            <w:tcW w:w="1446" w:type="dxa"/>
            <w:tcBorders>
              <w:bottom w:val="single" w:sz="18" w:space="0" w:color="000000"/>
            </w:tcBorders>
          </w:tcPr>
          <w:p w14:paraId="485CB7ED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1.29±0.30</w:t>
            </w:r>
          </w:p>
        </w:tc>
        <w:tc>
          <w:tcPr>
            <w:tcW w:w="1446" w:type="dxa"/>
            <w:tcBorders>
              <w:bottom w:val="single" w:sz="18" w:space="0" w:color="000000"/>
            </w:tcBorders>
          </w:tcPr>
          <w:p w14:paraId="2808E9B9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0.81±0.22</w:t>
            </w:r>
          </w:p>
        </w:tc>
        <w:tc>
          <w:tcPr>
            <w:tcW w:w="1446" w:type="dxa"/>
            <w:tcBorders>
              <w:bottom w:val="single" w:sz="18" w:space="0" w:color="000000"/>
              <w:right w:val="single" w:sz="18" w:space="0" w:color="000000"/>
            </w:tcBorders>
          </w:tcPr>
          <w:p w14:paraId="78FB23E3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1.94±1.67</w:t>
            </w:r>
          </w:p>
        </w:tc>
      </w:tr>
      <w:tr w:rsidR="00F86FB6" w:rsidRPr="0027216B" w14:paraId="52B063C7" w14:textId="77777777" w:rsidTr="00BB25BD">
        <w:trPr>
          <w:cantSplit/>
          <w:trHeight w:val="570"/>
        </w:trPr>
        <w:tc>
          <w:tcPr>
            <w:tcW w:w="8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extDirection w:val="btLr"/>
          </w:tcPr>
          <w:p w14:paraId="786B25C7" w14:textId="77777777" w:rsidR="00F86FB6" w:rsidRPr="0027216B" w:rsidRDefault="00F86FB6" w:rsidP="00BB25BD">
            <w:pPr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b/>
                <w:sz w:val="24"/>
                <w:szCs w:val="24"/>
                <w:lang w:val="es-VE"/>
              </w:rPr>
              <w:t>Tetanic</w:t>
            </w: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</w:tcBorders>
          </w:tcPr>
          <w:p w14:paraId="41954D29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E0021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1340" w:type="dxa"/>
            <w:tcBorders>
              <w:top w:val="single" w:sz="18" w:space="0" w:color="000000"/>
            </w:tcBorders>
          </w:tcPr>
          <w:p w14:paraId="6F17AA7B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</w:pPr>
            <w:r w:rsidRPr="0027216B">
              <w:rPr>
                <w:color w:val="000000" w:themeColor="text1"/>
                <w:kern w:val="24"/>
              </w:rPr>
              <w:t>Vehicle</w:t>
            </w:r>
          </w:p>
          <w:p w14:paraId="79F42F3C" w14:textId="77777777" w:rsidR="00F86FB6" w:rsidRPr="0027216B" w:rsidRDefault="00F86FB6" w:rsidP="00BB25B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(NMP/PEG)</w:t>
            </w:r>
          </w:p>
        </w:tc>
        <w:tc>
          <w:tcPr>
            <w:tcW w:w="1549" w:type="dxa"/>
            <w:tcBorders>
              <w:top w:val="single" w:sz="18" w:space="0" w:color="000000"/>
            </w:tcBorders>
          </w:tcPr>
          <w:p w14:paraId="27C5090F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4</w:t>
            </w:r>
          </w:p>
          <w:p w14:paraId="4CF94C74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s-VE"/>
              </w:rPr>
              <w:t>(n=63)</w:t>
            </w:r>
          </w:p>
        </w:tc>
        <w:tc>
          <w:tcPr>
            <w:tcW w:w="1446" w:type="dxa"/>
            <w:tcBorders>
              <w:top w:val="single" w:sz="18" w:space="0" w:color="000000"/>
            </w:tcBorders>
          </w:tcPr>
          <w:p w14:paraId="12F6ED56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s-VE"/>
              </w:rPr>
              <w:t>1.62±0.21</w:t>
            </w:r>
          </w:p>
        </w:tc>
        <w:tc>
          <w:tcPr>
            <w:tcW w:w="1446" w:type="dxa"/>
            <w:tcBorders>
              <w:top w:val="single" w:sz="18" w:space="0" w:color="000000"/>
            </w:tcBorders>
          </w:tcPr>
          <w:p w14:paraId="25FBC500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18" w:space="0" w:color="000000"/>
            </w:tcBorders>
          </w:tcPr>
          <w:p w14:paraId="46C152C9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18" w:space="0" w:color="000000"/>
              <w:right w:val="single" w:sz="18" w:space="0" w:color="000000"/>
            </w:tcBorders>
          </w:tcPr>
          <w:p w14:paraId="0191D54C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FB6" w:rsidRPr="0027216B" w14:paraId="598F9D05" w14:textId="77777777" w:rsidTr="00BB25BD">
        <w:trPr>
          <w:trHeight w:val="524"/>
        </w:trPr>
        <w:tc>
          <w:tcPr>
            <w:tcW w:w="813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extDirection w:val="btLr"/>
          </w:tcPr>
          <w:p w14:paraId="53F0B8B6" w14:textId="77777777" w:rsidR="00F86FB6" w:rsidRPr="0027216B" w:rsidRDefault="00F86FB6" w:rsidP="00BB25BD">
            <w:pPr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18" w:space="0" w:color="000000"/>
            </w:tcBorders>
          </w:tcPr>
          <w:p w14:paraId="54EB073E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ind w:left="115" w:right="115"/>
              <w:jc w:val="center"/>
            </w:pPr>
          </w:p>
          <w:p w14:paraId="5781A94B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ind w:left="115" w:right="115"/>
              <w:jc w:val="center"/>
            </w:pPr>
            <w:proofErr w:type="spellStart"/>
            <w:r w:rsidRPr="0027216B">
              <w:t>dHT</w:t>
            </w:r>
            <w:proofErr w:type="spellEnd"/>
          </w:p>
        </w:tc>
        <w:tc>
          <w:tcPr>
            <w:tcW w:w="1340" w:type="dxa"/>
          </w:tcPr>
          <w:p w14:paraId="24487EEF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</w:pPr>
            <w:r w:rsidRPr="0027216B">
              <w:rPr>
                <w:color w:val="000000" w:themeColor="text1"/>
                <w:kern w:val="24"/>
              </w:rPr>
              <w:t>Vehicle</w:t>
            </w:r>
          </w:p>
          <w:p w14:paraId="0C3A64C1" w14:textId="77777777" w:rsidR="00F86FB6" w:rsidRDefault="00F86FB6" w:rsidP="00BB25BD">
            <w:pPr>
              <w:pStyle w:val="NormalWeb"/>
              <w:spacing w:before="0" w:beforeAutospacing="0" w:after="200" w:afterAutospacing="0"/>
              <w:rPr>
                <w:color w:val="000000" w:themeColor="text1"/>
                <w:kern w:val="24"/>
              </w:rPr>
            </w:pPr>
            <w:r w:rsidRPr="0027216B">
              <w:rPr>
                <w:color w:val="000000" w:themeColor="text1"/>
                <w:kern w:val="24"/>
              </w:rPr>
              <w:t>(NMP/PEG)</w:t>
            </w:r>
          </w:p>
          <w:p w14:paraId="3737EFFE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</w:pPr>
            <w:r>
              <w:t>(P value)</w:t>
            </w:r>
          </w:p>
        </w:tc>
        <w:tc>
          <w:tcPr>
            <w:tcW w:w="1549" w:type="dxa"/>
          </w:tcPr>
          <w:p w14:paraId="77FEBFBB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6</w:t>
            </w:r>
          </w:p>
          <w:p w14:paraId="030E6EAF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</w:rPr>
              <w:t>(n=92)</w:t>
            </w:r>
          </w:p>
        </w:tc>
        <w:tc>
          <w:tcPr>
            <w:tcW w:w="1446" w:type="dxa"/>
          </w:tcPr>
          <w:p w14:paraId="5BB8EBE4" w14:textId="77777777" w:rsidR="00F86FB6" w:rsidRDefault="00F86FB6" w:rsidP="00BB25BD">
            <w:pPr>
              <w:pStyle w:val="NormalWeb"/>
              <w:spacing w:before="0" w:beforeAutospacing="0" w:after="200" w:afterAutospacing="0"/>
              <w:jc w:val="center"/>
              <w:rPr>
                <w:color w:val="000000" w:themeColor="text1"/>
                <w:kern w:val="24"/>
              </w:rPr>
            </w:pPr>
            <w:r w:rsidRPr="0027216B">
              <w:rPr>
                <w:color w:val="000000" w:themeColor="text1"/>
                <w:kern w:val="24"/>
                <w:lang w:val="es-VE"/>
              </w:rPr>
              <w:t>*</w:t>
            </w:r>
            <w:r w:rsidRPr="0027216B">
              <w:rPr>
                <w:color w:val="000000" w:themeColor="text1"/>
                <w:kern w:val="24"/>
              </w:rPr>
              <w:t>1.22±0.22</w:t>
            </w:r>
          </w:p>
          <w:p w14:paraId="603E6C22" w14:textId="77777777" w:rsidR="00F86FB6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</w:p>
          <w:p w14:paraId="55C7512E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>
              <w:t>(P=0.039)</w:t>
            </w:r>
          </w:p>
        </w:tc>
        <w:tc>
          <w:tcPr>
            <w:tcW w:w="1446" w:type="dxa"/>
          </w:tcPr>
          <w:p w14:paraId="5A824313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542949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1446" w:type="dxa"/>
            <w:tcBorders>
              <w:right w:val="single" w:sz="18" w:space="0" w:color="000000"/>
            </w:tcBorders>
          </w:tcPr>
          <w:p w14:paraId="01C0B941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</w:tr>
      <w:tr w:rsidR="00F86FB6" w:rsidRPr="0027216B" w14:paraId="308D3C74" w14:textId="77777777" w:rsidTr="00BB25BD">
        <w:trPr>
          <w:trHeight w:val="544"/>
        </w:trPr>
        <w:tc>
          <w:tcPr>
            <w:tcW w:w="813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87C1AD" w14:textId="77777777" w:rsidR="00F86FB6" w:rsidRPr="0027216B" w:rsidRDefault="00F86FB6" w:rsidP="00BB25B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121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41DFA2A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proofErr w:type="spellStart"/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dHT</w:t>
            </w:r>
            <w:proofErr w:type="spellEnd"/>
          </w:p>
        </w:tc>
        <w:tc>
          <w:tcPr>
            <w:tcW w:w="1340" w:type="dxa"/>
            <w:tcBorders>
              <w:bottom w:val="single" w:sz="18" w:space="0" w:color="000000"/>
            </w:tcBorders>
          </w:tcPr>
          <w:p w14:paraId="3D1301E3" w14:textId="77777777" w:rsidR="00F86FB6" w:rsidRDefault="00F86FB6" w:rsidP="00BB25BD">
            <w:pPr>
              <w:spacing w:after="20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TMP269 +5Aza</w:t>
            </w:r>
          </w:p>
          <w:p w14:paraId="1D3C3935" w14:textId="77777777" w:rsidR="00F86FB6" w:rsidRPr="0027216B" w:rsidRDefault="00F86FB6" w:rsidP="00BB25B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(P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49" w:type="dxa"/>
            <w:tcBorders>
              <w:bottom w:val="single" w:sz="18" w:space="0" w:color="000000"/>
            </w:tcBorders>
          </w:tcPr>
          <w:p w14:paraId="2A6B74A1" w14:textId="77777777" w:rsidR="00F86FB6" w:rsidRPr="0027216B" w:rsidRDefault="00F86FB6" w:rsidP="00BB25BD">
            <w:pPr>
              <w:pStyle w:val="NormalWeb"/>
              <w:spacing w:before="0" w:beforeAutospacing="0" w:after="200" w:afterAutospacing="0"/>
              <w:jc w:val="center"/>
            </w:pPr>
            <w:r w:rsidRPr="0027216B">
              <w:rPr>
                <w:color w:val="000000" w:themeColor="text1"/>
                <w:kern w:val="24"/>
                <w:lang w:val="es-VE"/>
              </w:rPr>
              <w:t>5</w:t>
            </w:r>
          </w:p>
          <w:p w14:paraId="77661E2D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s-VE"/>
              </w:rPr>
              <w:t>(n=78)</w:t>
            </w:r>
          </w:p>
        </w:tc>
        <w:tc>
          <w:tcPr>
            <w:tcW w:w="1446" w:type="dxa"/>
            <w:tcBorders>
              <w:bottom w:val="single" w:sz="18" w:space="0" w:color="000000"/>
            </w:tcBorders>
          </w:tcPr>
          <w:p w14:paraId="23A08E73" w14:textId="77777777" w:rsid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s-VE"/>
              </w:rPr>
            </w:pPr>
            <w:r w:rsidRPr="002721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¶</w:t>
            </w:r>
            <w:r w:rsidRPr="0027216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s-VE"/>
              </w:rPr>
              <w:t>1.42±0.23</w:t>
            </w:r>
          </w:p>
          <w:p w14:paraId="61858D0B" w14:textId="77777777" w:rsidR="00F86FB6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s-VE"/>
              </w:rPr>
            </w:pPr>
          </w:p>
          <w:p w14:paraId="5B80D2D5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s-VE"/>
              </w:rPr>
              <w:t>(P=0.042)</w:t>
            </w:r>
          </w:p>
        </w:tc>
        <w:tc>
          <w:tcPr>
            <w:tcW w:w="1446" w:type="dxa"/>
            <w:tcBorders>
              <w:bottom w:val="single" w:sz="18" w:space="0" w:color="000000"/>
            </w:tcBorders>
          </w:tcPr>
          <w:p w14:paraId="78252E89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1446" w:type="dxa"/>
            <w:tcBorders>
              <w:bottom w:val="single" w:sz="18" w:space="0" w:color="000000"/>
            </w:tcBorders>
          </w:tcPr>
          <w:p w14:paraId="457732F5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1446" w:type="dxa"/>
            <w:tcBorders>
              <w:bottom w:val="single" w:sz="18" w:space="0" w:color="000000"/>
              <w:right w:val="single" w:sz="18" w:space="0" w:color="000000"/>
            </w:tcBorders>
          </w:tcPr>
          <w:p w14:paraId="08EABE25" w14:textId="77777777" w:rsidR="00F86FB6" w:rsidRPr="0027216B" w:rsidRDefault="00F86FB6" w:rsidP="00BB25B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</w:tr>
    </w:tbl>
    <w:p w14:paraId="3554EBA8" w14:textId="77777777" w:rsidR="00F86FB6" w:rsidRPr="0027216B" w:rsidRDefault="00F86FB6" w:rsidP="00F86FB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B3ECDE" w14:textId="48450EDB" w:rsidR="00E25E2C" w:rsidRPr="00F86FB6" w:rsidRDefault="00E25E2C" w:rsidP="00F86FB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25E2C" w:rsidRPr="00F86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B6"/>
    <w:rsid w:val="00052162"/>
    <w:rsid w:val="00057122"/>
    <w:rsid w:val="00060B4D"/>
    <w:rsid w:val="00095C13"/>
    <w:rsid w:val="00097EF4"/>
    <w:rsid w:val="000B4925"/>
    <w:rsid w:val="000E6517"/>
    <w:rsid w:val="000F1544"/>
    <w:rsid w:val="001464F3"/>
    <w:rsid w:val="00152B17"/>
    <w:rsid w:val="00183394"/>
    <w:rsid w:val="001C5F77"/>
    <w:rsid w:val="001D4067"/>
    <w:rsid w:val="001F440D"/>
    <w:rsid w:val="001F4D8D"/>
    <w:rsid w:val="001F7B8A"/>
    <w:rsid w:val="00212B7B"/>
    <w:rsid w:val="002445D3"/>
    <w:rsid w:val="00255B0D"/>
    <w:rsid w:val="002928D7"/>
    <w:rsid w:val="002C257A"/>
    <w:rsid w:val="002C42D5"/>
    <w:rsid w:val="002E7B21"/>
    <w:rsid w:val="00320625"/>
    <w:rsid w:val="003306AF"/>
    <w:rsid w:val="00362F2D"/>
    <w:rsid w:val="00386D45"/>
    <w:rsid w:val="00391E58"/>
    <w:rsid w:val="003D6E2B"/>
    <w:rsid w:val="003E2CF0"/>
    <w:rsid w:val="0040143D"/>
    <w:rsid w:val="004101BB"/>
    <w:rsid w:val="00414CE1"/>
    <w:rsid w:val="00427B03"/>
    <w:rsid w:val="0047758C"/>
    <w:rsid w:val="00487F7D"/>
    <w:rsid w:val="00496D29"/>
    <w:rsid w:val="004C04CF"/>
    <w:rsid w:val="004D7F95"/>
    <w:rsid w:val="00560565"/>
    <w:rsid w:val="00575986"/>
    <w:rsid w:val="005B0A92"/>
    <w:rsid w:val="005B0B5A"/>
    <w:rsid w:val="005B79E7"/>
    <w:rsid w:val="005C39DD"/>
    <w:rsid w:val="005C5B8C"/>
    <w:rsid w:val="005F140C"/>
    <w:rsid w:val="0064506A"/>
    <w:rsid w:val="00654DAB"/>
    <w:rsid w:val="00656D7E"/>
    <w:rsid w:val="0068626F"/>
    <w:rsid w:val="00696175"/>
    <w:rsid w:val="006B52AB"/>
    <w:rsid w:val="00710DC1"/>
    <w:rsid w:val="00735D92"/>
    <w:rsid w:val="007670A5"/>
    <w:rsid w:val="00771BE6"/>
    <w:rsid w:val="007A4BBB"/>
    <w:rsid w:val="007B1FEB"/>
    <w:rsid w:val="007C2682"/>
    <w:rsid w:val="007D5243"/>
    <w:rsid w:val="007D6621"/>
    <w:rsid w:val="00801BB8"/>
    <w:rsid w:val="00804340"/>
    <w:rsid w:val="00815966"/>
    <w:rsid w:val="008569D9"/>
    <w:rsid w:val="008866F7"/>
    <w:rsid w:val="0089703B"/>
    <w:rsid w:val="008E2971"/>
    <w:rsid w:val="00906753"/>
    <w:rsid w:val="0093795A"/>
    <w:rsid w:val="00966C5B"/>
    <w:rsid w:val="00976318"/>
    <w:rsid w:val="009C0F2F"/>
    <w:rsid w:val="009D5F16"/>
    <w:rsid w:val="009F7BCD"/>
    <w:rsid w:val="00A0556C"/>
    <w:rsid w:val="00A17040"/>
    <w:rsid w:val="00A6463A"/>
    <w:rsid w:val="00AA2C3B"/>
    <w:rsid w:val="00AB67D7"/>
    <w:rsid w:val="00AC07F1"/>
    <w:rsid w:val="00AC5045"/>
    <w:rsid w:val="00AC76CF"/>
    <w:rsid w:val="00AD12CD"/>
    <w:rsid w:val="00AD69C2"/>
    <w:rsid w:val="00B16C40"/>
    <w:rsid w:val="00B21F7A"/>
    <w:rsid w:val="00B420B6"/>
    <w:rsid w:val="00BA22B4"/>
    <w:rsid w:val="00BE580C"/>
    <w:rsid w:val="00C13FDA"/>
    <w:rsid w:val="00C549B6"/>
    <w:rsid w:val="00C554D9"/>
    <w:rsid w:val="00C55DD4"/>
    <w:rsid w:val="00C77884"/>
    <w:rsid w:val="00C91B78"/>
    <w:rsid w:val="00D052A4"/>
    <w:rsid w:val="00D06416"/>
    <w:rsid w:val="00D14CCB"/>
    <w:rsid w:val="00D2440D"/>
    <w:rsid w:val="00D27C84"/>
    <w:rsid w:val="00DA3C1F"/>
    <w:rsid w:val="00DD2082"/>
    <w:rsid w:val="00DE5917"/>
    <w:rsid w:val="00DE61D4"/>
    <w:rsid w:val="00DF729B"/>
    <w:rsid w:val="00E25E2C"/>
    <w:rsid w:val="00E422D0"/>
    <w:rsid w:val="00E545FB"/>
    <w:rsid w:val="00EA0C0A"/>
    <w:rsid w:val="00ED5070"/>
    <w:rsid w:val="00EF7D1A"/>
    <w:rsid w:val="00F26F3F"/>
    <w:rsid w:val="00F849ED"/>
    <w:rsid w:val="00F86FB6"/>
    <w:rsid w:val="00F937FD"/>
    <w:rsid w:val="00F96A14"/>
    <w:rsid w:val="00FC707B"/>
    <w:rsid w:val="00FF6FE0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14C34"/>
  <w15:chartTrackingRefBased/>
  <w15:docId w15:val="{C412A452-700E-334F-B980-ABE46171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FB6"/>
    <w:pPr>
      <w:spacing w:after="160" w:line="259" w:lineRule="auto"/>
    </w:pPr>
    <w:rPr>
      <w:sz w:val="22"/>
      <w:szCs w:val="22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FB6"/>
    <w:rPr>
      <w:rFonts w:eastAsiaTheme="minorEastAsia" w:cs="Arial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2022-02-11T15:03:00Z</dcterms:created>
  <dcterms:modified xsi:type="dcterms:W3CDTF">2022-02-17T09:05:00Z</dcterms:modified>
</cp:coreProperties>
</file>