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22D8" w14:textId="46DF4BB4" w:rsidR="0087162D" w:rsidRPr="00780F32" w:rsidRDefault="0087162D" w:rsidP="0087162D">
      <w:pPr>
        <w:keepNext/>
        <w:spacing w:line="360" w:lineRule="auto"/>
        <w:outlineLvl w:val="0"/>
        <w:rPr>
          <w:rFonts w:eastAsia="ＭＳ 明朝"/>
          <w:b/>
          <w:sz w:val="24"/>
          <w:szCs w:val="24"/>
        </w:rPr>
      </w:pPr>
      <w:r w:rsidRPr="0087162D">
        <w:rPr>
          <w:rFonts w:eastAsia="ＭＳ 明朝"/>
          <w:b/>
          <w:sz w:val="24"/>
          <w:szCs w:val="24"/>
        </w:rPr>
        <w:t>Supplementary File 1</w:t>
      </w:r>
      <w:r w:rsidRPr="00780F32">
        <w:rPr>
          <w:rFonts w:eastAsia="ＭＳ 明朝"/>
          <w:b/>
          <w:sz w:val="24"/>
          <w:szCs w:val="24"/>
        </w:rPr>
        <w:t>. RNA probe synthesis</w:t>
      </w:r>
      <w:r w:rsidR="00C64AEB">
        <w:rPr>
          <w:rFonts w:eastAsia="ＭＳ 明朝"/>
          <w:b/>
          <w:sz w:val="24"/>
          <w:szCs w:val="24"/>
        </w:rPr>
        <w:t xml:space="preserve"> for </w:t>
      </w:r>
      <w:r w:rsidR="00C64AEB" w:rsidRPr="00C64AEB">
        <w:rPr>
          <w:rFonts w:eastAsia="ＭＳ 明朝"/>
          <w:b/>
          <w:i/>
          <w:iCs/>
          <w:sz w:val="24"/>
          <w:szCs w:val="24"/>
        </w:rPr>
        <w:t>in situ</w:t>
      </w:r>
      <w:r w:rsidR="00C64AEB">
        <w:rPr>
          <w:rFonts w:eastAsia="ＭＳ 明朝"/>
          <w:b/>
          <w:sz w:val="24"/>
          <w:szCs w:val="24"/>
        </w:rPr>
        <w:t xml:space="preserve"> hybridization.</w:t>
      </w:r>
    </w:p>
    <w:tbl>
      <w:tblPr>
        <w:tblStyle w:val="1"/>
        <w:tblW w:w="0" w:type="auto"/>
        <w:tblLayout w:type="fixed"/>
        <w:tblLook w:val="04A0" w:firstRow="1" w:lastRow="0" w:firstColumn="1" w:lastColumn="0" w:noHBand="0" w:noVBand="1"/>
      </w:tblPr>
      <w:tblGrid>
        <w:gridCol w:w="2689"/>
        <w:gridCol w:w="1275"/>
        <w:gridCol w:w="1418"/>
        <w:gridCol w:w="2977"/>
      </w:tblGrid>
      <w:tr w:rsidR="0087162D" w:rsidRPr="00780F32" w14:paraId="3D3DAC2E" w14:textId="77777777" w:rsidTr="00386CC3">
        <w:tc>
          <w:tcPr>
            <w:tcW w:w="2689" w:type="dxa"/>
          </w:tcPr>
          <w:p w14:paraId="5D49A6E9" w14:textId="77777777" w:rsidR="0087162D" w:rsidRPr="00780F32" w:rsidRDefault="0087162D" w:rsidP="00386CC3">
            <w:pPr>
              <w:spacing w:line="360" w:lineRule="auto"/>
              <w:rPr>
                <w:rFonts w:eastAsia="ＭＳ 明朝"/>
              </w:rPr>
            </w:pPr>
            <w:r w:rsidRPr="00780F32">
              <w:rPr>
                <w:rFonts w:eastAsia="ＭＳ 明朝"/>
              </w:rPr>
              <w:t xml:space="preserve">Gene </w:t>
            </w:r>
          </w:p>
        </w:tc>
        <w:tc>
          <w:tcPr>
            <w:tcW w:w="1275" w:type="dxa"/>
          </w:tcPr>
          <w:p w14:paraId="6D952ECE" w14:textId="77777777" w:rsidR="0087162D" w:rsidRPr="00780F32" w:rsidRDefault="0087162D" w:rsidP="00386CC3">
            <w:pPr>
              <w:spacing w:line="360" w:lineRule="auto"/>
              <w:rPr>
                <w:rFonts w:eastAsia="ＭＳ 明朝"/>
              </w:rPr>
            </w:pPr>
            <w:r w:rsidRPr="00780F32">
              <w:rPr>
                <w:rFonts w:eastAsia="ＭＳ 明朝"/>
              </w:rPr>
              <w:t xml:space="preserve">Restriction </w:t>
            </w:r>
          </w:p>
          <w:p w14:paraId="0F317FD6" w14:textId="77777777" w:rsidR="0087162D" w:rsidRPr="00780F32" w:rsidRDefault="0087162D" w:rsidP="00386CC3">
            <w:pPr>
              <w:spacing w:line="360" w:lineRule="auto"/>
              <w:rPr>
                <w:rFonts w:eastAsia="ＭＳ 明朝"/>
              </w:rPr>
            </w:pPr>
            <w:r w:rsidRPr="00780F32">
              <w:rPr>
                <w:rFonts w:eastAsia="ＭＳ 明朝"/>
              </w:rPr>
              <w:t>enzyme</w:t>
            </w:r>
          </w:p>
        </w:tc>
        <w:tc>
          <w:tcPr>
            <w:tcW w:w="1418" w:type="dxa"/>
          </w:tcPr>
          <w:p w14:paraId="7901F6E7" w14:textId="77777777" w:rsidR="0087162D" w:rsidRPr="00780F32" w:rsidRDefault="0087162D" w:rsidP="00386CC3">
            <w:pPr>
              <w:spacing w:line="360" w:lineRule="auto"/>
              <w:rPr>
                <w:rFonts w:eastAsia="ＭＳ 明朝"/>
              </w:rPr>
            </w:pPr>
            <w:r w:rsidRPr="00780F32">
              <w:rPr>
                <w:rFonts w:eastAsia="ＭＳ 明朝"/>
              </w:rPr>
              <w:t>Transcription</w:t>
            </w:r>
          </w:p>
          <w:p w14:paraId="5B69E4AB" w14:textId="77777777" w:rsidR="0087162D" w:rsidRPr="00780F32" w:rsidRDefault="0087162D" w:rsidP="00386CC3">
            <w:pPr>
              <w:spacing w:line="360" w:lineRule="auto"/>
              <w:rPr>
                <w:rFonts w:eastAsia="ＭＳ 明朝"/>
              </w:rPr>
            </w:pPr>
            <w:r w:rsidRPr="00780F32">
              <w:rPr>
                <w:rFonts w:eastAsia="ＭＳ 明朝"/>
              </w:rPr>
              <w:t>Enzyme</w:t>
            </w:r>
          </w:p>
        </w:tc>
        <w:tc>
          <w:tcPr>
            <w:tcW w:w="2977" w:type="dxa"/>
          </w:tcPr>
          <w:p w14:paraId="08764B91" w14:textId="77777777" w:rsidR="0087162D" w:rsidRPr="00780F32" w:rsidRDefault="0087162D" w:rsidP="00386CC3">
            <w:pPr>
              <w:spacing w:line="360" w:lineRule="auto"/>
              <w:rPr>
                <w:rFonts w:eastAsia="ＭＳ 明朝"/>
              </w:rPr>
            </w:pPr>
            <w:r w:rsidRPr="00780F32">
              <w:rPr>
                <w:rFonts w:eastAsia="ＭＳ 明朝"/>
              </w:rPr>
              <w:t>References</w:t>
            </w:r>
          </w:p>
        </w:tc>
      </w:tr>
      <w:tr w:rsidR="0087162D" w:rsidRPr="00780F32" w14:paraId="4860F8A0" w14:textId="77777777" w:rsidTr="00386CC3">
        <w:tc>
          <w:tcPr>
            <w:tcW w:w="2689" w:type="dxa"/>
          </w:tcPr>
          <w:p w14:paraId="02032486" w14:textId="77777777" w:rsidR="0087162D" w:rsidRPr="00780F32" w:rsidRDefault="0087162D" w:rsidP="00386CC3">
            <w:pPr>
              <w:spacing w:line="360" w:lineRule="auto"/>
              <w:rPr>
                <w:rFonts w:eastAsia="ＭＳ 明朝"/>
              </w:rPr>
            </w:pPr>
            <w:r w:rsidRPr="00780F32">
              <w:rPr>
                <w:rFonts w:eastAsia="ＭＳ 明朝"/>
                <w:i/>
                <w:iCs/>
              </w:rPr>
              <w:t>fzd7</w:t>
            </w:r>
            <w:r w:rsidRPr="00780F32">
              <w:rPr>
                <w:rFonts w:eastAsia="ＭＳ 明朝"/>
              </w:rPr>
              <w:t xml:space="preserve"> (Full-length)</w:t>
            </w:r>
          </w:p>
        </w:tc>
        <w:tc>
          <w:tcPr>
            <w:tcW w:w="1275" w:type="dxa"/>
          </w:tcPr>
          <w:p w14:paraId="4D9CEAEA" w14:textId="77777777" w:rsidR="0087162D" w:rsidRPr="00780F32" w:rsidRDefault="0087162D" w:rsidP="00386CC3">
            <w:pPr>
              <w:spacing w:line="360" w:lineRule="auto"/>
              <w:rPr>
                <w:rFonts w:eastAsia="ＭＳ 明朝"/>
              </w:rPr>
            </w:pPr>
            <w:proofErr w:type="spellStart"/>
            <w:r w:rsidRPr="00780F32">
              <w:rPr>
                <w:rFonts w:eastAsia="ＭＳ 明朝"/>
                <w:i/>
                <w:iCs/>
              </w:rPr>
              <w:t>Hind</w:t>
            </w:r>
            <w:r w:rsidRPr="00780F32">
              <w:rPr>
                <w:rFonts w:eastAsia="ＭＳ 明朝"/>
              </w:rPr>
              <w:t>III</w:t>
            </w:r>
            <w:proofErr w:type="spellEnd"/>
          </w:p>
        </w:tc>
        <w:tc>
          <w:tcPr>
            <w:tcW w:w="1418" w:type="dxa"/>
          </w:tcPr>
          <w:p w14:paraId="17ED02BB" w14:textId="77777777" w:rsidR="0087162D" w:rsidRPr="00780F32" w:rsidRDefault="0087162D" w:rsidP="00386CC3">
            <w:pPr>
              <w:spacing w:line="360" w:lineRule="auto"/>
              <w:rPr>
                <w:rFonts w:eastAsia="ＭＳ 明朝"/>
              </w:rPr>
            </w:pPr>
            <w:r w:rsidRPr="00780F32">
              <w:rPr>
                <w:rFonts w:eastAsia="ＭＳ 明朝" w:hint="eastAsia"/>
              </w:rPr>
              <w:t>T</w:t>
            </w:r>
            <w:r w:rsidRPr="00780F32">
              <w:rPr>
                <w:rFonts w:eastAsia="ＭＳ 明朝"/>
              </w:rPr>
              <w:t>3</w:t>
            </w:r>
          </w:p>
        </w:tc>
        <w:tc>
          <w:tcPr>
            <w:tcW w:w="2977" w:type="dxa"/>
          </w:tcPr>
          <w:p w14:paraId="7A8E83BE" w14:textId="77777777" w:rsidR="0087162D" w:rsidRPr="00780F32" w:rsidRDefault="0087162D" w:rsidP="00386CC3">
            <w:pPr>
              <w:spacing w:line="360" w:lineRule="auto"/>
              <w:rPr>
                <w:rFonts w:eastAsia="ＭＳ 明朝"/>
              </w:rPr>
            </w:pPr>
            <w:r w:rsidRPr="00780F32">
              <w:rPr>
                <w:rFonts w:eastAsia="ＭＳ 明朝" w:hint="eastAsia"/>
              </w:rPr>
              <w:t>T</w:t>
            </w:r>
            <w:r w:rsidRPr="00780F32">
              <w:rPr>
                <w:rFonts w:eastAsia="ＭＳ 明朝"/>
              </w:rPr>
              <w:t>his paper</w:t>
            </w:r>
          </w:p>
        </w:tc>
      </w:tr>
      <w:tr w:rsidR="0087162D" w:rsidRPr="00780F32" w14:paraId="52BA3F2C" w14:textId="77777777" w:rsidTr="00386CC3">
        <w:tc>
          <w:tcPr>
            <w:tcW w:w="2689" w:type="dxa"/>
          </w:tcPr>
          <w:p w14:paraId="4B2EDB7B" w14:textId="77777777" w:rsidR="0087162D" w:rsidRPr="00780F32" w:rsidRDefault="0087162D" w:rsidP="00386CC3">
            <w:pPr>
              <w:spacing w:line="360" w:lineRule="auto"/>
              <w:rPr>
                <w:rFonts w:eastAsia="ＭＳ 明朝"/>
              </w:rPr>
            </w:pPr>
            <w:r w:rsidRPr="00780F32">
              <w:rPr>
                <w:rFonts w:eastAsia="ＭＳ 明朝"/>
                <w:i/>
                <w:iCs/>
              </w:rPr>
              <w:t>fzd7</w:t>
            </w:r>
            <w:r w:rsidRPr="00780F32">
              <w:rPr>
                <w:rFonts w:eastAsia="ＭＳ 明朝"/>
              </w:rPr>
              <w:t xml:space="preserve"> (intracellular domain)</w:t>
            </w:r>
          </w:p>
        </w:tc>
        <w:tc>
          <w:tcPr>
            <w:tcW w:w="1275" w:type="dxa"/>
          </w:tcPr>
          <w:p w14:paraId="5FA6D0DA" w14:textId="77777777" w:rsidR="0087162D" w:rsidRPr="00780F32" w:rsidRDefault="0087162D" w:rsidP="00386CC3">
            <w:pPr>
              <w:spacing w:line="360" w:lineRule="auto"/>
              <w:rPr>
                <w:rFonts w:eastAsia="ＭＳ 明朝"/>
              </w:rPr>
            </w:pPr>
            <w:r w:rsidRPr="00780F32">
              <w:rPr>
                <w:rFonts w:eastAsia="ＭＳ 明朝"/>
                <w:i/>
                <w:iCs/>
              </w:rPr>
              <w:t>Ava</w:t>
            </w:r>
            <w:r w:rsidRPr="00780F32">
              <w:rPr>
                <w:rFonts w:eastAsia="ＭＳ 明朝"/>
              </w:rPr>
              <w:t>I</w:t>
            </w:r>
          </w:p>
        </w:tc>
        <w:tc>
          <w:tcPr>
            <w:tcW w:w="1418" w:type="dxa"/>
          </w:tcPr>
          <w:p w14:paraId="1DA72CDD" w14:textId="77777777" w:rsidR="0087162D" w:rsidRPr="00780F32" w:rsidRDefault="0087162D" w:rsidP="00386CC3">
            <w:pPr>
              <w:spacing w:line="360" w:lineRule="auto"/>
              <w:rPr>
                <w:rFonts w:eastAsia="ＭＳ 明朝"/>
              </w:rPr>
            </w:pPr>
            <w:r w:rsidRPr="00780F32">
              <w:rPr>
                <w:rFonts w:eastAsia="ＭＳ 明朝" w:hint="eastAsia"/>
              </w:rPr>
              <w:t>S</w:t>
            </w:r>
            <w:r w:rsidRPr="00780F32">
              <w:rPr>
                <w:rFonts w:eastAsia="ＭＳ 明朝"/>
              </w:rPr>
              <w:t>P6</w:t>
            </w:r>
          </w:p>
        </w:tc>
        <w:tc>
          <w:tcPr>
            <w:tcW w:w="2977" w:type="dxa"/>
          </w:tcPr>
          <w:p w14:paraId="3170E2D1" w14:textId="77777777" w:rsidR="0087162D" w:rsidRPr="00780F32" w:rsidRDefault="0087162D" w:rsidP="00386CC3">
            <w:pPr>
              <w:spacing w:line="360" w:lineRule="auto"/>
              <w:rPr>
                <w:rFonts w:eastAsia="ＭＳ 明朝"/>
              </w:rPr>
            </w:pPr>
            <w:r w:rsidRPr="00780F32">
              <w:rPr>
                <w:rFonts w:eastAsia="ＭＳ 明朝" w:hint="eastAsia"/>
              </w:rPr>
              <w:t>T</w:t>
            </w:r>
            <w:r w:rsidRPr="00780F32">
              <w:rPr>
                <w:rFonts w:eastAsia="ＭＳ 明朝"/>
              </w:rPr>
              <w:t>his paper</w:t>
            </w:r>
          </w:p>
        </w:tc>
      </w:tr>
      <w:tr w:rsidR="0087162D" w:rsidRPr="00780F32" w14:paraId="0B1B7BB2" w14:textId="77777777" w:rsidTr="00386CC3">
        <w:tc>
          <w:tcPr>
            <w:tcW w:w="2689" w:type="dxa"/>
          </w:tcPr>
          <w:p w14:paraId="4E164D41" w14:textId="77777777" w:rsidR="0087162D" w:rsidRPr="00780F32" w:rsidRDefault="0087162D" w:rsidP="00386CC3">
            <w:pPr>
              <w:spacing w:line="360" w:lineRule="auto"/>
              <w:rPr>
                <w:rFonts w:eastAsia="ＭＳ 明朝"/>
                <w:i/>
                <w:iCs/>
              </w:rPr>
            </w:pPr>
            <w:r w:rsidRPr="00780F32">
              <w:rPr>
                <w:rFonts w:eastAsia="ＭＳ 明朝"/>
                <w:i/>
                <w:iCs/>
              </w:rPr>
              <w:t>gata5</w:t>
            </w:r>
          </w:p>
        </w:tc>
        <w:tc>
          <w:tcPr>
            <w:tcW w:w="1275" w:type="dxa"/>
          </w:tcPr>
          <w:p w14:paraId="489EA163" w14:textId="77777777" w:rsidR="0087162D" w:rsidRPr="00780F32" w:rsidRDefault="0087162D" w:rsidP="00386CC3">
            <w:pPr>
              <w:spacing w:line="360" w:lineRule="auto"/>
              <w:rPr>
                <w:rFonts w:eastAsia="ＭＳ 明朝"/>
                <w:i/>
                <w:iCs/>
              </w:rPr>
            </w:pPr>
            <w:proofErr w:type="spellStart"/>
            <w:r w:rsidRPr="00780F32">
              <w:rPr>
                <w:rFonts w:eastAsia="ＭＳ 明朝"/>
                <w:i/>
                <w:iCs/>
              </w:rPr>
              <w:t>Spe</w:t>
            </w:r>
            <w:r w:rsidRPr="00780F32">
              <w:rPr>
                <w:rFonts w:eastAsia="ＭＳ 明朝"/>
              </w:rPr>
              <w:t>I</w:t>
            </w:r>
            <w:proofErr w:type="spellEnd"/>
          </w:p>
        </w:tc>
        <w:tc>
          <w:tcPr>
            <w:tcW w:w="1418" w:type="dxa"/>
          </w:tcPr>
          <w:p w14:paraId="08A22697" w14:textId="77777777" w:rsidR="0087162D" w:rsidRPr="00780F32" w:rsidRDefault="0087162D" w:rsidP="00386CC3">
            <w:pPr>
              <w:spacing w:line="360" w:lineRule="auto"/>
              <w:rPr>
                <w:rFonts w:eastAsia="ＭＳ 明朝"/>
              </w:rPr>
            </w:pPr>
            <w:r w:rsidRPr="00780F32">
              <w:rPr>
                <w:rFonts w:eastAsia="ＭＳ 明朝" w:hint="eastAsia"/>
              </w:rPr>
              <w:t>T</w:t>
            </w:r>
            <w:r w:rsidRPr="00780F32">
              <w:rPr>
                <w:rFonts w:eastAsia="ＭＳ 明朝"/>
              </w:rPr>
              <w:t>7</w:t>
            </w:r>
          </w:p>
        </w:tc>
        <w:tc>
          <w:tcPr>
            <w:tcW w:w="2977" w:type="dxa"/>
          </w:tcPr>
          <w:p w14:paraId="4FAF173E" w14:textId="77777777" w:rsidR="0087162D" w:rsidRPr="00780F32" w:rsidRDefault="0087162D" w:rsidP="00386CC3">
            <w:pPr>
              <w:spacing w:line="360" w:lineRule="auto"/>
              <w:rPr>
                <w:rFonts w:eastAsia="ＭＳ 明朝"/>
              </w:rPr>
            </w:pPr>
            <w:r w:rsidRPr="00780F32">
              <w:rPr>
                <w:rFonts w:eastAsia="ＭＳ 明朝" w:hint="eastAsia"/>
              </w:rPr>
              <w:t>T</w:t>
            </w:r>
            <w:r w:rsidRPr="00780F32">
              <w:rPr>
                <w:rFonts w:eastAsia="ＭＳ 明朝"/>
              </w:rPr>
              <w:t>his paper</w:t>
            </w:r>
          </w:p>
        </w:tc>
      </w:tr>
      <w:tr w:rsidR="0087162D" w:rsidRPr="00780F32" w14:paraId="29FC5BB0" w14:textId="77777777" w:rsidTr="00386CC3">
        <w:tc>
          <w:tcPr>
            <w:tcW w:w="2689" w:type="dxa"/>
          </w:tcPr>
          <w:p w14:paraId="38650ACB" w14:textId="77777777" w:rsidR="0087162D" w:rsidRPr="00780F32" w:rsidRDefault="0087162D" w:rsidP="00386CC3">
            <w:pPr>
              <w:spacing w:line="360" w:lineRule="auto"/>
              <w:rPr>
                <w:rFonts w:eastAsia="ＭＳ 明朝"/>
                <w:i/>
                <w:iCs/>
              </w:rPr>
            </w:pPr>
            <w:r w:rsidRPr="00780F32">
              <w:rPr>
                <w:rFonts w:eastAsia="ＭＳ 明朝"/>
                <w:i/>
                <w:iCs/>
              </w:rPr>
              <w:t>myl2</w:t>
            </w:r>
          </w:p>
        </w:tc>
        <w:tc>
          <w:tcPr>
            <w:tcW w:w="1275" w:type="dxa"/>
          </w:tcPr>
          <w:p w14:paraId="175BF141" w14:textId="77777777" w:rsidR="0087162D" w:rsidRPr="00780F32" w:rsidRDefault="0087162D" w:rsidP="00386CC3">
            <w:pPr>
              <w:spacing w:line="360" w:lineRule="auto"/>
              <w:rPr>
                <w:rFonts w:eastAsia="ＭＳ 明朝"/>
              </w:rPr>
            </w:pPr>
            <w:r w:rsidRPr="00780F32">
              <w:rPr>
                <w:rFonts w:eastAsia="ＭＳ 明朝"/>
                <w:i/>
                <w:iCs/>
              </w:rPr>
              <w:t>Bam</w:t>
            </w:r>
            <w:r w:rsidRPr="00780F32">
              <w:rPr>
                <w:rFonts w:eastAsia="ＭＳ 明朝"/>
              </w:rPr>
              <w:t>HI</w:t>
            </w:r>
          </w:p>
        </w:tc>
        <w:tc>
          <w:tcPr>
            <w:tcW w:w="1418" w:type="dxa"/>
          </w:tcPr>
          <w:p w14:paraId="3D43067B" w14:textId="77777777" w:rsidR="0087162D" w:rsidRPr="00780F32" w:rsidRDefault="0087162D" w:rsidP="00386CC3">
            <w:pPr>
              <w:spacing w:line="360" w:lineRule="auto"/>
              <w:rPr>
                <w:rFonts w:eastAsia="ＭＳ 明朝"/>
              </w:rPr>
            </w:pPr>
            <w:r w:rsidRPr="00780F32">
              <w:rPr>
                <w:rFonts w:eastAsia="ＭＳ 明朝" w:hint="eastAsia"/>
              </w:rPr>
              <w:t>T</w:t>
            </w:r>
            <w:r w:rsidRPr="00780F32">
              <w:rPr>
                <w:rFonts w:eastAsia="ＭＳ 明朝"/>
              </w:rPr>
              <w:t>7</w:t>
            </w:r>
          </w:p>
        </w:tc>
        <w:tc>
          <w:tcPr>
            <w:tcW w:w="2977" w:type="dxa"/>
          </w:tcPr>
          <w:p w14:paraId="4F5C7B8B" w14:textId="77777777" w:rsidR="0087162D" w:rsidRPr="00780F32" w:rsidRDefault="0087162D" w:rsidP="00386CC3">
            <w:pPr>
              <w:spacing w:line="360" w:lineRule="auto"/>
              <w:rPr>
                <w:rFonts w:eastAsia="ＭＳ 明朝"/>
              </w:rPr>
            </w:pPr>
            <w:r w:rsidRPr="00780F32">
              <w:rPr>
                <w:rFonts w:eastAsia="ＭＳ 明朝"/>
              </w:rPr>
              <w:fldChar w:fldCharType="begin" w:fldLock="1"/>
            </w:r>
            <w:r w:rsidRPr="00780F32">
              <w:rPr>
                <w:rFonts w:eastAsia="ＭＳ 明朝"/>
              </w:rPr>
              <w:instrText>ADDIN CSL_CITATION {"citationItems":[{"id":"ITEM-1","itemData":{"DOI":"10.1242/dev.121.11.3889","ISSN":"09501991","PMID":"8582297","abstract":"tinman is a Drosophila Nk-homeobox gene required for heart and visceral mesoderm specification. Mutations in tinman result in lack of formation of the Drosophila heart, the dorsal vessel. We have isolated an Nk-homeobox gene from Xenopus laevis, XNkx-2.3, which appears by sequence homology and expression pattern to be a homologue of tinman. The expression pattern of XNkx-2.3 both during development and in adult tissues partially overlaps with that of another tinman homologue, Csx/Nkx-2.5/XNkx-2.5. We have found that embryonic expression of both XNkx-2.3 and XNkx-2.5 is induced at a time when cardiac specification is occurring. XNkx-2.3 is expressed in early cardiac primordia before the expression of a marker of cardiac differentiation, XMLC2, as well as in pharyngeal endoderm. In adult tissues, XNkx-2.3 is expressed in the heart and several visceral organs, As the helix-loop-helix factor Twist is thought to regulate tinman expression in Drosophila, we have compared the expression of XNkx-2.3 and Xtwist during embryonic development in Xenopus. There appears to be no overlap in expression patterns of the two RNAs from the neurulae stages onward, the first time at which the RNAs can be visualized by in situ hybridization. The overlapping expression patterns of XNkx-2.3 and mNkx-2.5/XNkx-2.5 in conjunction with evidence presented here that other Nk-homeodomains are expressed in adult mouse and Xenopus heart suggests that tinman may be represented by a family of genes in vertebrates.","author":[{"dropping-particle":"","family":"Evans","given":"S. M.","non-dropping-particle":"","parse-names":false,"suffix":""},{"dropping-particle":"","family":"Yan","given":"W.","non-dropping-particle":"","parse-names":false,"suffix":""},{"dropping-particle":"","family":"Murillo","given":"M. P.","non-dropping-particle":"","parse-names":false,"suffix":""},{"dropping-particle":"","family":"Ponce","given":"J.","non-dropping-particle":"","parse-names":false,"suffix":""},{"dropping-particle":"","family":"Papalopulu","given":"N.","non-dropping-particle":"","parse-names":false,"suffix":""}],"container-title":"Development","id":"ITEM-1","issue":"11","issued":{"date-parts":[["1995"]]},"page":"3889-3899","title":"tinman, a Drosophila homeobox gene required for heart and visceral mesoderm specification, may be represented by a family of genes in vertebrates: XNkx-2.3, a second vertebrate homologue of tinman","type":"article-journal","volume":"121"},"uris":["http://www.mendeley.com/documents/?uuid=3a65e0d1-5254-478a-93ab-4517f2f67c18"]}],"mendeley":{"formattedCitation":"(Evans et al., 1995)","plainTextFormattedCitation":"(Evans et al., 1995)","previouslyFormattedCitation":"(Evans et al., 1995)"},"properties":{"noteIndex":0},"schema":"https://github.com/citation-style-language/schema/raw/master/csl-citation.json"}</w:instrText>
            </w:r>
            <w:r w:rsidRPr="00780F32">
              <w:rPr>
                <w:rFonts w:eastAsia="ＭＳ 明朝"/>
              </w:rPr>
              <w:fldChar w:fldCharType="separate"/>
            </w:r>
            <w:r w:rsidRPr="00780F32">
              <w:rPr>
                <w:rFonts w:eastAsia="ＭＳ 明朝"/>
                <w:noProof/>
              </w:rPr>
              <w:t>(Evans et al., 1995)</w:t>
            </w:r>
            <w:r w:rsidRPr="00780F32">
              <w:rPr>
                <w:rFonts w:eastAsia="ＭＳ 明朝"/>
              </w:rPr>
              <w:fldChar w:fldCharType="end"/>
            </w:r>
          </w:p>
        </w:tc>
      </w:tr>
      <w:tr w:rsidR="0087162D" w:rsidRPr="00780F32" w14:paraId="1E398580" w14:textId="77777777" w:rsidTr="00386CC3">
        <w:tc>
          <w:tcPr>
            <w:tcW w:w="2689" w:type="dxa"/>
          </w:tcPr>
          <w:p w14:paraId="515640C2" w14:textId="77777777" w:rsidR="0087162D" w:rsidRPr="00780F32" w:rsidRDefault="0087162D" w:rsidP="00386CC3">
            <w:pPr>
              <w:spacing w:line="360" w:lineRule="auto"/>
              <w:rPr>
                <w:rFonts w:eastAsia="ＭＳ 明朝"/>
                <w:i/>
                <w:iCs/>
              </w:rPr>
            </w:pPr>
            <w:r w:rsidRPr="00780F32">
              <w:rPr>
                <w:rFonts w:eastAsia="ＭＳ 明朝"/>
                <w:i/>
                <w:iCs/>
              </w:rPr>
              <w:t>tnni3</w:t>
            </w:r>
          </w:p>
        </w:tc>
        <w:tc>
          <w:tcPr>
            <w:tcW w:w="1275" w:type="dxa"/>
          </w:tcPr>
          <w:p w14:paraId="74FF39CD" w14:textId="77777777" w:rsidR="0087162D" w:rsidRPr="00780F32" w:rsidRDefault="0087162D" w:rsidP="00386CC3">
            <w:pPr>
              <w:spacing w:line="360" w:lineRule="auto"/>
              <w:rPr>
                <w:rFonts w:eastAsia="ＭＳ 明朝"/>
              </w:rPr>
            </w:pPr>
            <w:proofErr w:type="spellStart"/>
            <w:r w:rsidRPr="00780F32">
              <w:rPr>
                <w:rFonts w:eastAsia="ＭＳ 明朝" w:hint="eastAsia"/>
                <w:i/>
                <w:iCs/>
              </w:rPr>
              <w:t>N</w:t>
            </w:r>
            <w:r w:rsidRPr="00780F32">
              <w:rPr>
                <w:rFonts w:eastAsia="ＭＳ 明朝"/>
                <w:i/>
                <w:iCs/>
              </w:rPr>
              <w:t>ot</w:t>
            </w:r>
            <w:r w:rsidRPr="00780F32">
              <w:rPr>
                <w:rFonts w:eastAsia="ＭＳ 明朝"/>
              </w:rPr>
              <w:t>I</w:t>
            </w:r>
            <w:proofErr w:type="spellEnd"/>
          </w:p>
        </w:tc>
        <w:tc>
          <w:tcPr>
            <w:tcW w:w="1418" w:type="dxa"/>
          </w:tcPr>
          <w:p w14:paraId="7E5959D1" w14:textId="77777777" w:rsidR="0087162D" w:rsidRPr="00780F32" w:rsidRDefault="0087162D" w:rsidP="00386CC3">
            <w:pPr>
              <w:spacing w:line="360" w:lineRule="auto"/>
              <w:rPr>
                <w:rFonts w:eastAsia="ＭＳ 明朝"/>
              </w:rPr>
            </w:pPr>
            <w:r w:rsidRPr="00780F32">
              <w:rPr>
                <w:rFonts w:eastAsia="ＭＳ 明朝" w:hint="eastAsia"/>
              </w:rPr>
              <w:t>T</w:t>
            </w:r>
            <w:r w:rsidRPr="00780F32">
              <w:rPr>
                <w:rFonts w:eastAsia="ＭＳ 明朝"/>
              </w:rPr>
              <w:t>7</w:t>
            </w:r>
          </w:p>
        </w:tc>
        <w:tc>
          <w:tcPr>
            <w:tcW w:w="2977" w:type="dxa"/>
          </w:tcPr>
          <w:p w14:paraId="44D799F1" w14:textId="77777777" w:rsidR="0087162D" w:rsidRPr="00780F32" w:rsidRDefault="0087162D" w:rsidP="00386CC3">
            <w:pPr>
              <w:spacing w:line="360" w:lineRule="auto"/>
              <w:rPr>
                <w:rFonts w:eastAsia="ＭＳ 明朝"/>
              </w:rPr>
            </w:pPr>
            <w:r w:rsidRPr="00780F32">
              <w:rPr>
                <w:rFonts w:eastAsia="ＭＳ 明朝"/>
              </w:rPr>
              <w:fldChar w:fldCharType="begin" w:fldLock="1"/>
            </w:r>
            <w:r w:rsidRPr="00780F32">
              <w:rPr>
                <w:rFonts w:eastAsia="ＭＳ 明朝"/>
              </w:rPr>
              <w:instrText>ADDIN CSL_CITATION {"citationItems":[{"id":"ITEM-1","itemData":{"DOI":"10.1006/DBIO.1994.1265","ISSN":"0012-1606","PMID":"7958411","abstract":"Cardiac troponin I (troponin Ic) expression is restricted to the heart at all stages of Xenopus development. Whole-mount in situ hybridization and Northern blot analysis indicates that troponin Ic is first expressed in tailbud embryos (stage 28) about the time of the first cytological heart differentiation and about 24 hr before beating tissue is observed. We have used this marker to examine abnormal heart morphogenesis in embryos treated with retinoic acid and lithium. When retinoic acid is administered to embryos prior to heart specification, heart tissue is reduced and often completely ablated. When embryos are treated after heart specification, but before the heart primordium migrates to the ventral midline, the migration is unaffected but smaller, abnormal hearts result. Lithium treatment of cleavage stage embryos causes an increase in heart tissue. In severely dorsalized embryos, heart tissue can be found around the entire embryo with the exception of a small gap at the most dorsal point. This gap indicates that migration of the heart to the ventral midline does not occur in these embryos. Later in development, a centrally located, beating heart is observed in dorsalized embryos. The timing of its appearance suggests that it is formed by movements normally associated with heart morphogenesis rather than migration. © 1994 by Academic Press, Inc.","author":[{"dropping-particle":"","family":"Drysdale","given":"Thomas A.","non-dropping-particle":"","parse-names":false,"suffix":""},{"dropping-particle":"","family":"Tonissen","given":"Kathryn F.","non-dropping-particle":"","parse-names":false,"suffix":""},{"dropping-particle":"","family":"Patterson","given":"Kbistin D.","non-dropping-particle":"","parse-names":false,"suffix":""},{"dropping-particle":"","family":"Crawford","given":"Michael J.","non-dropping-particle":"","parse-names":false,"suffix":""},{"dropping-particle":"","family":"Krieg","given":"Paul A.","non-dropping-particle":"","parse-names":false,"suffix":""}],"container-title":"Developmental biology","id":"ITEM-1","issue":"2","issued":{"date-parts":[["1994"]]},"page":"432-441","publisher":"Dev Biol","title":"Cardiac troponin I is a heart-specific marker in the Xenopus embryo: expression during abnormal heart morphogenesis","type":"article-journal","volume":"165"},"uris":["http://www.mendeley.com/documents/?uuid=a5e0fcdd-80c9-30e0-9410-001cc6833bb9"]}],"mendeley":{"formattedCitation":"(Drysdale et al., 1994)","plainTextFormattedCitation":"(Drysdale et al., 1994)","previouslyFormattedCitation":"(Drysdale et al., 1994)"},"properties":{"noteIndex":0},"schema":"https://github.com/citation-style-language/schema/raw/master/csl-citation.json"}</w:instrText>
            </w:r>
            <w:r w:rsidRPr="00780F32">
              <w:rPr>
                <w:rFonts w:eastAsia="ＭＳ 明朝"/>
              </w:rPr>
              <w:fldChar w:fldCharType="separate"/>
            </w:r>
            <w:r w:rsidRPr="00780F32">
              <w:rPr>
                <w:rFonts w:eastAsia="ＭＳ 明朝"/>
                <w:noProof/>
              </w:rPr>
              <w:t>(Drysdale et al., 1994)</w:t>
            </w:r>
            <w:r w:rsidRPr="00780F32">
              <w:rPr>
                <w:rFonts w:eastAsia="ＭＳ 明朝"/>
              </w:rPr>
              <w:fldChar w:fldCharType="end"/>
            </w:r>
          </w:p>
        </w:tc>
      </w:tr>
    </w:tbl>
    <w:p w14:paraId="680867E4" w14:textId="77777777" w:rsidR="000051D0" w:rsidRDefault="001114C3"/>
    <w:sectPr w:rsidR="000051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C8DB" w14:textId="77777777" w:rsidR="001114C3" w:rsidRDefault="001114C3" w:rsidP="00C64AEB">
      <w:r>
        <w:separator/>
      </w:r>
    </w:p>
  </w:endnote>
  <w:endnote w:type="continuationSeparator" w:id="0">
    <w:p w14:paraId="34162D18" w14:textId="77777777" w:rsidR="001114C3" w:rsidRDefault="001114C3" w:rsidP="00C6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DF89" w14:textId="77777777" w:rsidR="001114C3" w:rsidRDefault="001114C3" w:rsidP="00C64AEB">
      <w:r>
        <w:separator/>
      </w:r>
    </w:p>
  </w:footnote>
  <w:footnote w:type="continuationSeparator" w:id="0">
    <w:p w14:paraId="18484B34" w14:textId="77777777" w:rsidR="001114C3" w:rsidRDefault="001114C3" w:rsidP="00C64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2D"/>
    <w:rsid w:val="001114C3"/>
    <w:rsid w:val="00141E69"/>
    <w:rsid w:val="001B5E2F"/>
    <w:rsid w:val="006B18CA"/>
    <w:rsid w:val="007D4B05"/>
    <w:rsid w:val="0084416C"/>
    <w:rsid w:val="0087162D"/>
    <w:rsid w:val="00A37466"/>
    <w:rsid w:val="00C64AEB"/>
    <w:rsid w:val="00D64982"/>
    <w:rsid w:val="00DA2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D36D4"/>
  <w15:chartTrackingRefBased/>
  <w15:docId w15:val="{5FD3E855-8046-465D-9BA8-F95C4135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62D"/>
    <w:pPr>
      <w:widowControl w:val="0"/>
      <w:jc w:val="both"/>
    </w:pPr>
    <w:rPr>
      <w:rFonts w:ascii="Times New Roman" w:hAnsi="Times New Roman" w:cs="Times New Roman"/>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87162D"/>
    <w:pPr>
      <w:widowControl w:val="0"/>
      <w:jc w:val="both"/>
    </w:pPr>
    <w:rPr>
      <w:rFonts w:ascii="Times New Roma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7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4AEB"/>
    <w:pPr>
      <w:tabs>
        <w:tab w:val="center" w:pos="4252"/>
        <w:tab w:val="right" w:pos="8504"/>
      </w:tabs>
      <w:snapToGrid w:val="0"/>
    </w:pPr>
  </w:style>
  <w:style w:type="character" w:customStyle="1" w:styleId="a5">
    <w:name w:val="ヘッダー (文字)"/>
    <w:basedOn w:val="a0"/>
    <w:link w:val="a4"/>
    <w:uiPriority w:val="99"/>
    <w:rsid w:val="00C64AEB"/>
    <w:rPr>
      <w:rFonts w:ascii="Times New Roman" w:hAnsi="Times New Roman" w:cs="Times New Roman"/>
      <w:kern w:val="0"/>
      <w:sz w:val="22"/>
      <w:lang w:eastAsia="zh-CN"/>
    </w:rPr>
  </w:style>
  <w:style w:type="paragraph" w:styleId="a6">
    <w:name w:val="footer"/>
    <w:basedOn w:val="a"/>
    <w:link w:val="a7"/>
    <w:uiPriority w:val="99"/>
    <w:unhideWhenUsed/>
    <w:rsid w:val="00C64AEB"/>
    <w:pPr>
      <w:tabs>
        <w:tab w:val="center" w:pos="4252"/>
        <w:tab w:val="right" w:pos="8504"/>
      </w:tabs>
      <w:snapToGrid w:val="0"/>
    </w:pPr>
  </w:style>
  <w:style w:type="character" w:customStyle="1" w:styleId="a7">
    <w:name w:val="フッター (文字)"/>
    <w:basedOn w:val="a0"/>
    <w:link w:val="a6"/>
    <w:uiPriority w:val="99"/>
    <w:rsid w:val="00C64AEB"/>
    <w:rPr>
      <w:rFonts w:ascii="Times New Roman" w:hAnsi="Times New Roman" w:cs="Times New Roman"/>
      <w:kern w:val="0"/>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915</Words>
  <Characters>5219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Takayoshi YAMAMOTO</dc:creator>
  <cp:keywords/>
  <dc:description/>
  <cp:lastModifiedBy>y</cp:lastModifiedBy>
  <cp:revision>3</cp:revision>
  <dcterms:created xsi:type="dcterms:W3CDTF">2022-03-15T12:56:00Z</dcterms:created>
  <dcterms:modified xsi:type="dcterms:W3CDTF">2022-03-15T13:12:00Z</dcterms:modified>
</cp:coreProperties>
</file>