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2835"/>
        <w:gridCol w:w="2127"/>
        <w:gridCol w:w="2409"/>
        <w:gridCol w:w="1701"/>
      </w:tblGrid>
      <w:tr w:rsidR="002411F5" w:rsidRPr="00B807E5" w14:paraId="1746D15C" w14:textId="77777777" w:rsidTr="001E2B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4"/>
            <w:tcBorders>
              <w:top w:val="nil"/>
            </w:tcBorders>
            <w:shd w:val="clear" w:color="auto" w:fill="auto"/>
          </w:tcPr>
          <w:p w14:paraId="2B7DE1A9" w14:textId="507311F8" w:rsidR="002411F5" w:rsidRPr="00B807E5" w:rsidRDefault="00BC7672" w:rsidP="002411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Supplementary Table</w:t>
            </w:r>
            <w:r w:rsidR="002411F5" w:rsidRPr="00B807E5">
              <w:rPr>
                <w:sz w:val="24"/>
                <w:szCs w:val="24"/>
              </w:rPr>
              <w:t xml:space="preserve"> </w:t>
            </w:r>
            <w:r w:rsidR="002411F5">
              <w:rPr>
                <w:sz w:val="24"/>
                <w:szCs w:val="24"/>
              </w:rPr>
              <w:t>1</w:t>
            </w:r>
            <w:r w:rsidR="002411F5" w:rsidRPr="007D5B7A">
              <w:t xml:space="preserve"> </w:t>
            </w:r>
            <w:r w:rsidR="002411F5" w:rsidRPr="007D5B7A">
              <w:rPr>
                <w:b w:val="0"/>
                <w:bCs w:val="0"/>
              </w:rPr>
              <w:t xml:space="preserve">Characteristics of the </w:t>
            </w:r>
            <w:r w:rsidR="002411F5">
              <w:rPr>
                <w:b w:val="0"/>
                <w:bCs w:val="0"/>
              </w:rPr>
              <w:t>92</w:t>
            </w:r>
            <w:r w:rsidR="002411F5" w:rsidRPr="007D5B7A">
              <w:rPr>
                <w:b w:val="0"/>
                <w:bCs w:val="0"/>
              </w:rPr>
              <w:t xml:space="preserve"> patients with amyotrophic lateral sclerosis (ALS) included in the </w:t>
            </w:r>
            <w:r w:rsidR="002411F5">
              <w:rPr>
                <w:b w:val="0"/>
                <w:bCs w:val="0"/>
              </w:rPr>
              <w:t xml:space="preserve">analysis of </w:t>
            </w:r>
            <w:proofErr w:type="spellStart"/>
            <w:r w:rsidR="00D64E21">
              <w:rPr>
                <w:b w:val="0"/>
                <w:bCs w:val="0"/>
              </w:rPr>
              <w:t>FlowC</w:t>
            </w:r>
            <w:proofErr w:type="spellEnd"/>
            <w:r w:rsidR="00D64E21">
              <w:rPr>
                <w:b w:val="0"/>
                <w:bCs w:val="0"/>
              </w:rPr>
              <w:t xml:space="preserve"> </w:t>
            </w:r>
            <w:r w:rsidR="002411F5">
              <w:rPr>
                <w:b w:val="0"/>
                <w:bCs w:val="0"/>
              </w:rPr>
              <w:t>test</w:t>
            </w:r>
            <w:r w:rsidR="002411F5" w:rsidRPr="007D5B7A">
              <w:rPr>
                <w:b w:val="0"/>
                <w:bCs w:val="0"/>
              </w:rPr>
              <w:t>, compared with the entire population of ALS patients during the study period in Stockholm, Sweden</w:t>
            </w:r>
          </w:p>
        </w:tc>
      </w:tr>
      <w:tr w:rsidR="002411F5" w14:paraId="0A30199E" w14:textId="77777777" w:rsidTr="001E2B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shd w:val="clear" w:color="auto" w:fill="auto"/>
          </w:tcPr>
          <w:p w14:paraId="12DA7C68" w14:textId="687F3A09" w:rsidR="002411F5" w:rsidRDefault="002411F5" w:rsidP="002411F5">
            <w:r w:rsidRPr="007D5B7A">
              <w:t>Characteristics</w:t>
            </w:r>
          </w:p>
        </w:tc>
        <w:tc>
          <w:tcPr>
            <w:tcW w:w="2127" w:type="dxa"/>
            <w:shd w:val="clear" w:color="auto" w:fill="auto"/>
          </w:tcPr>
          <w:p w14:paraId="62E36E48" w14:textId="3F7434D1" w:rsidR="002411F5" w:rsidRPr="00467A9F" w:rsidRDefault="002411F5" w:rsidP="00241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5B7A">
              <w:rPr>
                <w:b/>
                <w:bCs/>
              </w:rPr>
              <w:t xml:space="preserve">Patients included in the </w:t>
            </w:r>
            <w:r>
              <w:rPr>
                <w:b/>
                <w:bCs/>
              </w:rPr>
              <w:t>analysis</w:t>
            </w:r>
            <w:r w:rsidRPr="007D5B7A">
              <w:rPr>
                <w:b/>
                <w:bCs/>
              </w:rPr>
              <w:t xml:space="preserve"> (N=</w:t>
            </w:r>
            <w:r>
              <w:rPr>
                <w:b/>
                <w:bCs/>
              </w:rPr>
              <w:t>92</w:t>
            </w:r>
            <w:r w:rsidRPr="007D5B7A">
              <w:rPr>
                <w:b/>
                <w:bCs/>
              </w:rPr>
              <w:t xml:space="preserve">) </w:t>
            </w:r>
          </w:p>
        </w:tc>
        <w:tc>
          <w:tcPr>
            <w:tcW w:w="2409" w:type="dxa"/>
            <w:shd w:val="clear" w:color="auto" w:fill="auto"/>
          </w:tcPr>
          <w:p w14:paraId="4A0AAB74" w14:textId="326E0B34" w:rsidR="002411F5" w:rsidRPr="00467A9F" w:rsidRDefault="002411F5" w:rsidP="00241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5B7A">
              <w:rPr>
                <w:b/>
                <w:bCs/>
              </w:rPr>
              <w:t>All patients in Stockholm (N=420)</w:t>
            </w:r>
          </w:p>
        </w:tc>
        <w:tc>
          <w:tcPr>
            <w:tcW w:w="1701" w:type="dxa"/>
            <w:shd w:val="clear" w:color="auto" w:fill="auto"/>
          </w:tcPr>
          <w:p w14:paraId="16605F2E" w14:textId="078357DD" w:rsidR="002411F5" w:rsidRDefault="002411F5" w:rsidP="00241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5B7A">
              <w:rPr>
                <w:b/>
                <w:bCs/>
              </w:rPr>
              <w:t>P value for difference*</w:t>
            </w:r>
          </w:p>
        </w:tc>
      </w:tr>
      <w:tr w:rsidR="002411F5" w14:paraId="5A18E368" w14:textId="77777777" w:rsidTr="001E2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7F7F7F" w:themeColor="text1" w:themeTint="80"/>
              <w:bottom w:val="nil"/>
              <w:right w:val="nil"/>
            </w:tcBorders>
            <w:shd w:val="clear" w:color="auto" w:fill="auto"/>
          </w:tcPr>
          <w:p w14:paraId="725374D3" w14:textId="5F0A1F79" w:rsidR="002411F5" w:rsidRDefault="002411F5" w:rsidP="002411F5">
            <w:r>
              <w:t xml:space="preserve">Sex, N (%) </w:t>
            </w:r>
          </w:p>
        </w:tc>
        <w:tc>
          <w:tcPr>
            <w:tcW w:w="2127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</w:tcPr>
          <w:p w14:paraId="06B5A5DC" w14:textId="3A0AF28F" w:rsidR="002411F5" w:rsidRPr="00467A9F" w:rsidRDefault="002411F5" w:rsidP="00241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409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</w:tcPr>
          <w:p w14:paraId="01A8AF49" w14:textId="46AFE0A2" w:rsidR="002411F5" w:rsidRPr="00467A9F" w:rsidRDefault="002411F5" w:rsidP="00241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top w:val="single" w:sz="4" w:space="0" w:color="7F7F7F" w:themeColor="text1" w:themeTint="80"/>
              <w:left w:val="nil"/>
              <w:bottom w:val="nil"/>
            </w:tcBorders>
            <w:shd w:val="clear" w:color="auto" w:fill="auto"/>
          </w:tcPr>
          <w:p w14:paraId="3F592623" w14:textId="77777777" w:rsidR="002411F5" w:rsidRDefault="002411F5" w:rsidP="00241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P=0.29</w:t>
            </w:r>
          </w:p>
        </w:tc>
      </w:tr>
      <w:tr w:rsidR="002411F5" w14:paraId="67976BD9" w14:textId="77777777" w:rsidTr="001E2B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7D8F828" w14:textId="77777777" w:rsidR="002411F5" w:rsidRPr="00467A9F" w:rsidRDefault="002411F5" w:rsidP="002411F5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  </w:t>
            </w:r>
            <w:r w:rsidRPr="00467A9F">
              <w:rPr>
                <w:b w:val="0"/>
                <w:bCs w:val="0"/>
              </w:rPr>
              <w:t xml:space="preserve">Female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B4D52C" w14:textId="2879BB0C" w:rsidR="002411F5" w:rsidRDefault="002411F5" w:rsidP="00241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49 (53%)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62CD22" w14:textId="4DD6FD34" w:rsidR="002411F5" w:rsidRDefault="002411F5" w:rsidP="00241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2B45">
              <w:t>201(48%)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E644426" w14:textId="77777777" w:rsidR="002411F5" w:rsidRDefault="002411F5" w:rsidP="00241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411F5" w14:paraId="609416ED" w14:textId="77777777" w:rsidTr="001E2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116263" w14:textId="77777777" w:rsidR="002411F5" w:rsidRPr="00467A9F" w:rsidRDefault="002411F5" w:rsidP="002411F5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  </w:t>
            </w:r>
            <w:r w:rsidRPr="00467A9F">
              <w:rPr>
                <w:b w:val="0"/>
                <w:bCs w:val="0"/>
              </w:rPr>
              <w:t xml:space="preserve">Male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F841CA" w14:textId="61098EFA" w:rsidR="002411F5" w:rsidRDefault="002411F5" w:rsidP="00241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 (47%)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00A359" w14:textId="0337FCC5" w:rsidR="002411F5" w:rsidRDefault="002411F5" w:rsidP="00241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2B45">
              <w:t>219</w:t>
            </w:r>
            <w:r>
              <w:t xml:space="preserve"> </w:t>
            </w:r>
            <w:r w:rsidRPr="00112B45">
              <w:t>(52%)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6875351" w14:textId="77777777" w:rsidR="002411F5" w:rsidRDefault="002411F5" w:rsidP="00241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411F5" w14:paraId="018539B2" w14:textId="77777777" w:rsidTr="001E2B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6AA83765" w14:textId="5D2804AA" w:rsidR="002411F5" w:rsidRDefault="002411F5" w:rsidP="002411F5">
            <w:r>
              <w:t>Age at diagnosis, years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1FDAC" w14:textId="047DFDD7" w:rsidR="002411F5" w:rsidRDefault="002411F5" w:rsidP="00241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44DA37A" w14:textId="77777777" w:rsidR="002411F5" w:rsidRDefault="002411F5" w:rsidP="00241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P=0.002</w:t>
            </w:r>
          </w:p>
        </w:tc>
      </w:tr>
      <w:tr w:rsidR="002411F5" w14:paraId="3303F44F" w14:textId="77777777" w:rsidTr="001E2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0301E1" w14:textId="77777777" w:rsidR="002411F5" w:rsidRPr="00467A9F" w:rsidRDefault="002411F5" w:rsidP="002411F5">
            <w:pPr>
              <w:rPr>
                <w:b w:val="0"/>
                <w:bCs w:val="0"/>
              </w:rPr>
            </w:pPr>
            <w:r>
              <w:t xml:space="preserve">   </w:t>
            </w:r>
            <w:r w:rsidRPr="003F343B">
              <w:rPr>
                <w:b w:val="0"/>
                <w:bCs w:val="0"/>
              </w:rPr>
              <w:t>Me</w:t>
            </w:r>
            <w:r>
              <w:rPr>
                <w:b w:val="0"/>
                <w:bCs w:val="0"/>
              </w:rPr>
              <w:t>dian (Q1,Q</w:t>
            </w:r>
            <w:r w:rsidRPr="00B62ECD">
              <w:rPr>
                <w:b w:val="0"/>
                <w:bCs w:val="0"/>
              </w:rPr>
              <w:t>3</w:t>
            </w:r>
            <w:r>
              <w:rPr>
                <w:b w:val="0"/>
                <w:bCs w:val="0"/>
              </w:rPr>
              <w:t>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6C18FC" w14:textId="46BF01EF" w:rsidR="002411F5" w:rsidRDefault="002411F5" w:rsidP="00241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 (54, 70)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0777DB" w14:textId="15E8CEB6" w:rsidR="002411F5" w:rsidRDefault="002411F5" w:rsidP="00241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2B45">
              <w:t>66</w:t>
            </w:r>
            <w:r>
              <w:t xml:space="preserve"> </w:t>
            </w:r>
            <w:r w:rsidRPr="00112B45">
              <w:t>(57,72)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88DCD26" w14:textId="77777777" w:rsidR="002411F5" w:rsidRDefault="002411F5" w:rsidP="00241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411F5" w14:paraId="71F5928F" w14:textId="77777777" w:rsidTr="001E2B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A38C8" w14:textId="0875C0FF" w:rsidR="002411F5" w:rsidRDefault="002411F5" w:rsidP="002411F5">
            <w:r>
              <w:t xml:space="preserve">Diagnostic delay, months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C11824" w14:textId="1BC8390C" w:rsidR="002411F5" w:rsidRDefault="002411F5" w:rsidP="00241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AC7E6FF" w14:textId="77777777" w:rsidR="002411F5" w:rsidRDefault="002411F5" w:rsidP="00241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P=0.59</w:t>
            </w:r>
          </w:p>
        </w:tc>
      </w:tr>
      <w:tr w:rsidR="002411F5" w14:paraId="691C6FEB" w14:textId="77777777" w:rsidTr="001E2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504748D" w14:textId="77777777" w:rsidR="002411F5" w:rsidRPr="003F343B" w:rsidRDefault="002411F5" w:rsidP="002411F5">
            <w:pPr>
              <w:rPr>
                <w:b w:val="0"/>
                <w:bCs w:val="0"/>
              </w:rPr>
            </w:pPr>
            <w:r>
              <w:t xml:space="preserve">   </w:t>
            </w:r>
            <w:r w:rsidRPr="003F343B">
              <w:rPr>
                <w:b w:val="0"/>
                <w:bCs w:val="0"/>
              </w:rPr>
              <w:t>Me</w:t>
            </w:r>
            <w:r>
              <w:rPr>
                <w:b w:val="0"/>
                <w:bCs w:val="0"/>
              </w:rPr>
              <w:t>dian (Q1,Q</w:t>
            </w:r>
            <w:r w:rsidRPr="00B62ECD">
              <w:rPr>
                <w:b w:val="0"/>
                <w:bCs w:val="0"/>
              </w:rPr>
              <w:t>3</w:t>
            </w:r>
            <w:r>
              <w:rPr>
                <w:b w:val="0"/>
                <w:bCs w:val="0"/>
              </w:rPr>
              <w:t>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F8481F" w14:textId="77777777" w:rsidR="002411F5" w:rsidRDefault="002411F5" w:rsidP="00241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11.98 (7.52,19.89)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F3B3B0" w14:textId="0AB550AE" w:rsidR="002411F5" w:rsidRDefault="002411F5" w:rsidP="00241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2B45">
              <w:t>12.35</w:t>
            </w:r>
            <w:r w:rsidR="00013F13">
              <w:t xml:space="preserve"> </w:t>
            </w:r>
            <w:r w:rsidRPr="00112B45">
              <w:t>(7.59,20.54)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9414C64" w14:textId="77777777" w:rsidR="002411F5" w:rsidRDefault="002411F5" w:rsidP="00241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4665" w14:paraId="672B2497" w14:textId="77777777" w:rsidTr="001E2B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60FD0022" w14:textId="5E409308" w:rsidR="009A4665" w:rsidRDefault="009A4665" w:rsidP="002411F5">
            <w:r>
              <w:t>Gene mutation, N (%)</w:t>
            </w:r>
            <w:r w:rsidR="00650389" w:rsidRPr="007D5B7A">
              <w:rPr>
                <w:vertAlign w:val="superscript"/>
              </w:rPr>
              <w:sym w:font="Symbol" w:char="F02B"/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FB0AB1" w14:textId="56781523" w:rsidR="009A4665" w:rsidRDefault="009A4665" w:rsidP="00241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DD60930" w14:textId="77777777" w:rsidR="009A4665" w:rsidRDefault="009A4665" w:rsidP="00241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P=0.55</w:t>
            </w:r>
          </w:p>
        </w:tc>
      </w:tr>
      <w:tr w:rsidR="009A4665" w14:paraId="4258BFEF" w14:textId="77777777" w:rsidTr="001E2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27B0DC" w14:textId="2D36A9D0" w:rsidR="009A4665" w:rsidRPr="00013F13" w:rsidRDefault="009A4665" w:rsidP="009A4665">
            <w:pPr>
              <w:rPr>
                <w:b w:val="0"/>
                <w:bCs w:val="0"/>
                <w:i/>
                <w:iCs/>
              </w:rPr>
            </w:pPr>
            <w:r w:rsidRPr="00013F13">
              <w:rPr>
                <w:b w:val="0"/>
                <w:bCs w:val="0"/>
                <w:i/>
                <w:iCs/>
              </w:rPr>
              <w:t xml:space="preserve">    SOD1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B8D95C" w14:textId="10271DCE" w:rsidR="009A4665" w:rsidRDefault="009A4665" w:rsidP="009A4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 (4.11%)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779EED" w14:textId="3EAC2303" w:rsidR="009A4665" w:rsidRDefault="009A4665" w:rsidP="009A4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5B7A">
              <w:t>9 (2.56%)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418B15C" w14:textId="77777777" w:rsidR="009A4665" w:rsidRDefault="009A4665" w:rsidP="009A4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4665" w14:paraId="01070488" w14:textId="77777777" w:rsidTr="001E2B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1C7FF6D" w14:textId="77777777" w:rsidR="009A4665" w:rsidRPr="00013F13" w:rsidRDefault="009A4665" w:rsidP="009A4665">
            <w:pPr>
              <w:rPr>
                <w:b w:val="0"/>
                <w:bCs w:val="0"/>
                <w:i/>
                <w:iCs/>
              </w:rPr>
            </w:pPr>
            <w:r w:rsidRPr="00013F13">
              <w:rPr>
                <w:b w:val="0"/>
                <w:bCs w:val="0"/>
                <w:i/>
                <w:iCs/>
              </w:rPr>
              <w:t xml:space="preserve">    C9orf72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9EDD00" w14:textId="1A1D6AEB" w:rsidR="009A4665" w:rsidRDefault="009A4665" w:rsidP="009A4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 (13.70%)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91321F" w14:textId="5087F06B" w:rsidR="009A4665" w:rsidRDefault="009A4665" w:rsidP="009A4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5B7A">
              <w:t>30 (8.55%)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23CC965" w14:textId="77777777" w:rsidR="009A4665" w:rsidRDefault="009A4665" w:rsidP="009A4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4665" w14:paraId="70B7B1CD" w14:textId="77777777" w:rsidTr="001E2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5458AE9" w14:textId="77777777" w:rsidR="009A4665" w:rsidRPr="00467A9F" w:rsidRDefault="009A4665" w:rsidP="009A4665">
            <w:pPr>
              <w:rPr>
                <w:b w:val="0"/>
                <w:bCs w:val="0"/>
              </w:rPr>
            </w:pPr>
            <w:r w:rsidRPr="00467A9F">
              <w:rPr>
                <w:b w:val="0"/>
                <w:bCs w:val="0"/>
              </w:rPr>
              <w:t xml:space="preserve">    Other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EEB448" w14:textId="5E8F762F" w:rsidR="009A4665" w:rsidRDefault="009A4665" w:rsidP="009A4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 (4.11%)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8716DC" w14:textId="6396B360" w:rsidR="009A4665" w:rsidRDefault="009A4665" w:rsidP="009A4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5B7A">
              <w:t>5 (1.42%)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884FBAC" w14:textId="77777777" w:rsidR="009A4665" w:rsidRDefault="009A4665" w:rsidP="009A4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13F13" w14:paraId="0C85E4A3" w14:textId="77777777" w:rsidTr="001E2B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7268FA7E" w14:textId="3375F24F" w:rsidR="00013F13" w:rsidRDefault="00013F13" w:rsidP="002411F5">
            <w:r>
              <w:t xml:space="preserve">Site of onset, N (%)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5EA883" w14:textId="3C828B74" w:rsidR="00013F13" w:rsidRDefault="00013F13" w:rsidP="00241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A73836F" w14:textId="77777777" w:rsidR="00013F13" w:rsidRDefault="00013F13" w:rsidP="00241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P=0.03</w:t>
            </w:r>
          </w:p>
        </w:tc>
      </w:tr>
      <w:tr w:rsidR="002411F5" w14:paraId="7C0A3DFC" w14:textId="77777777" w:rsidTr="001E2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7A0F43F" w14:textId="77777777" w:rsidR="002411F5" w:rsidRPr="00467A9F" w:rsidRDefault="002411F5" w:rsidP="002411F5">
            <w:pPr>
              <w:rPr>
                <w:b w:val="0"/>
                <w:bCs w:val="0"/>
              </w:rPr>
            </w:pPr>
            <w:r w:rsidRPr="00467A9F">
              <w:rPr>
                <w:b w:val="0"/>
                <w:bCs w:val="0"/>
              </w:rPr>
              <w:t xml:space="preserve">   Limb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C6BCC0" w14:textId="772CC46B" w:rsidR="002411F5" w:rsidRDefault="002411F5" w:rsidP="00241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</w:t>
            </w:r>
            <w:r w:rsidR="00013F13">
              <w:t xml:space="preserve"> </w:t>
            </w:r>
            <w:r>
              <w:t>(70%)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43DD81" w14:textId="63BACE38" w:rsidR="002411F5" w:rsidRDefault="002411F5" w:rsidP="00241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4720">
              <w:t>250</w:t>
            </w:r>
            <w:r w:rsidR="00013F13">
              <w:t xml:space="preserve"> </w:t>
            </w:r>
            <w:r w:rsidRPr="00A44720">
              <w:t>(60%)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19569D8" w14:textId="77777777" w:rsidR="002411F5" w:rsidRDefault="002411F5" w:rsidP="00241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411F5" w14:paraId="1338DBFE" w14:textId="77777777" w:rsidTr="001E2B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F8E76E" w14:textId="77777777" w:rsidR="002411F5" w:rsidRPr="00467A9F" w:rsidRDefault="002411F5" w:rsidP="002411F5">
            <w:pPr>
              <w:rPr>
                <w:b w:val="0"/>
                <w:bCs w:val="0"/>
              </w:rPr>
            </w:pPr>
            <w:r w:rsidRPr="00467A9F">
              <w:rPr>
                <w:b w:val="0"/>
                <w:bCs w:val="0"/>
              </w:rPr>
              <w:t xml:space="preserve">   Bulbar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D33C9A" w14:textId="0B783090" w:rsidR="002411F5" w:rsidRDefault="002411F5" w:rsidP="00241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</w:t>
            </w:r>
            <w:r w:rsidR="00013F13">
              <w:t xml:space="preserve"> </w:t>
            </w:r>
            <w:r>
              <w:t>(22%)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C8D164" w14:textId="10861563" w:rsidR="002411F5" w:rsidRDefault="002411F5" w:rsidP="00241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4720">
              <w:t>118</w:t>
            </w:r>
            <w:r w:rsidR="00013F13">
              <w:t xml:space="preserve"> </w:t>
            </w:r>
            <w:r w:rsidRPr="00A44720">
              <w:t>(28%)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7159D1A" w14:textId="77777777" w:rsidR="002411F5" w:rsidRDefault="002411F5" w:rsidP="00241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411F5" w14:paraId="74F44796" w14:textId="77777777" w:rsidTr="001E2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75C6855" w14:textId="77777777" w:rsidR="002411F5" w:rsidRPr="00467A9F" w:rsidRDefault="002411F5" w:rsidP="002411F5">
            <w:pPr>
              <w:rPr>
                <w:b w:val="0"/>
                <w:bCs w:val="0"/>
              </w:rPr>
            </w:pPr>
            <w:r w:rsidRPr="00467A9F">
              <w:rPr>
                <w:b w:val="0"/>
                <w:bCs w:val="0"/>
              </w:rPr>
              <w:t xml:space="preserve">   Other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1B3C2C" w14:textId="1CEBC92D" w:rsidR="002411F5" w:rsidRDefault="002411F5" w:rsidP="00241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  <w:r w:rsidR="00013F13">
              <w:t xml:space="preserve"> </w:t>
            </w:r>
            <w:r>
              <w:t>(3%)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E06622" w14:textId="02EF1EAE" w:rsidR="002411F5" w:rsidRDefault="002411F5" w:rsidP="00241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4720">
              <w:t>32</w:t>
            </w:r>
            <w:r w:rsidR="00013F13">
              <w:t xml:space="preserve"> </w:t>
            </w:r>
            <w:r w:rsidRPr="00A44720">
              <w:t>(8%)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5BB13D3" w14:textId="77777777" w:rsidR="002411F5" w:rsidRDefault="002411F5" w:rsidP="00241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411F5" w14:paraId="4B3BD5B3" w14:textId="77777777" w:rsidTr="001E2B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6B3FB3" w14:textId="77777777" w:rsidR="002411F5" w:rsidRPr="002724F4" w:rsidRDefault="002411F5" w:rsidP="002411F5">
            <w:pPr>
              <w:rPr>
                <w:b w:val="0"/>
                <w:bCs w:val="0"/>
              </w:rPr>
            </w:pPr>
            <w:r>
              <w:t xml:space="preserve">   </w:t>
            </w:r>
            <w:r>
              <w:rPr>
                <w:b w:val="0"/>
                <w:bCs w:val="0"/>
              </w:rPr>
              <w:t>Missing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7799C1" w14:textId="1C91740E" w:rsidR="002411F5" w:rsidRDefault="002411F5" w:rsidP="00241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  <w:r w:rsidR="00013F13">
              <w:t xml:space="preserve"> </w:t>
            </w:r>
            <w:r>
              <w:t>(5%)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527841" w14:textId="2A78B707" w:rsidR="002411F5" w:rsidRDefault="002411F5" w:rsidP="00241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4720">
              <w:t>20</w:t>
            </w:r>
            <w:r w:rsidR="00013F13">
              <w:t xml:space="preserve"> </w:t>
            </w:r>
            <w:r w:rsidRPr="00A44720">
              <w:t>(5%)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8DC01C0" w14:textId="77777777" w:rsidR="002411F5" w:rsidRDefault="002411F5" w:rsidP="00241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13F13" w14:paraId="4083C7AB" w14:textId="77777777" w:rsidTr="001E2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4AD2D4" w14:textId="46DD83AD" w:rsidR="00013F13" w:rsidRDefault="00013F13" w:rsidP="002411F5">
            <w:r>
              <w:t>Family history, N (%)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86EBB3" w14:textId="47FB82E7" w:rsidR="00013F13" w:rsidRDefault="00013F13" w:rsidP="00241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10D2652" w14:textId="77777777" w:rsidR="00013F13" w:rsidRDefault="00013F13" w:rsidP="00241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P=0.60</w:t>
            </w:r>
          </w:p>
        </w:tc>
      </w:tr>
      <w:tr w:rsidR="002411F5" w14:paraId="39B08773" w14:textId="77777777" w:rsidTr="001E2B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8FC796" w14:textId="77777777" w:rsidR="002411F5" w:rsidRPr="00467A9F" w:rsidRDefault="002411F5" w:rsidP="002411F5">
            <w:pPr>
              <w:rPr>
                <w:b w:val="0"/>
                <w:bCs w:val="0"/>
              </w:rPr>
            </w:pPr>
            <w:r w:rsidRPr="00467A9F">
              <w:rPr>
                <w:b w:val="0"/>
                <w:bCs w:val="0"/>
              </w:rPr>
              <w:t xml:space="preserve">   Yes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E87E84" w14:textId="3B116C26" w:rsidR="002411F5" w:rsidRDefault="002411F5" w:rsidP="00241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  <w:r w:rsidR="00013F13">
              <w:t xml:space="preserve"> </w:t>
            </w:r>
            <w:r>
              <w:t>(8%)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4A4A32" w14:textId="6375F99A" w:rsidR="002411F5" w:rsidRDefault="002411F5" w:rsidP="00241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4720">
              <w:t>30</w:t>
            </w:r>
            <w:r w:rsidR="00013F13">
              <w:t xml:space="preserve"> </w:t>
            </w:r>
            <w:r w:rsidRPr="00A44720">
              <w:t>(7%)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F0D3B80" w14:textId="77777777" w:rsidR="002411F5" w:rsidRDefault="002411F5" w:rsidP="00241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411F5" w14:paraId="6CA4342B" w14:textId="77777777" w:rsidTr="001E2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4491A9F" w14:textId="77777777" w:rsidR="002411F5" w:rsidRPr="00467A9F" w:rsidRDefault="002411F5" w:rsidP="002411F5">
            <w:pPr>
              <w:rPr>
                <w:b w:val="0"/>
                <w:bCs w:val="0"/>
              </w:rPr>
            </w:pPr>
            <w:r w:rsidRPr="00467A9F">
              <w:rPr>
                <w:b w:val="0"/>
                <w:bCs w:val="0"/>
              </w:rPr>
              <w:t xml:space="preserve">   No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8F296B" w14:textId="266EC1A7" w:rsidR="002411F5" w:rsidRDefault="002411F5" w:rsidP="00241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35</w:t>
            </w:r>
            <w:r w:rsidR="00013F13">
              <w:t xml:space="preserve"> </w:t>
            </w:r>
            <w:r>
              <w:t>(38%)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34B7AC" w14:textId="3FF578E2" w:rsidR="002411F5" w:rsidRDefault="002411F5" w:rsidP="00241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4720">
              <w:t>201</w:t>
            </w:r>
            <w:r w:rsidR="00013F13">
              <w:t xml:space="preserve"> </w:t>
            </w:r>
            <w:r w:rsidRPr="00A44720">
              <w:t>(48%)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F773E78" w14:textId="77777777" w:rsidR="002411F5" w:rsidRDefault="002411F5" w:rsidP="00241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411F5" w14:paraId="3CAA3617" w14:textId="77777777" w:rsidTr="001E2B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27246C3" w14:textId="77777777" w:rsidR="002411F5" w:rsidRPr="00467A9F" w:rsidRDefault="002411F5" w:rsidP="002411F5">
            <w:pPr>
              <w:rPr>
                <w:b w:val="0"/>
                <w:bCs w:val="0"/>
              </w:rPr>
            </w:pPr>
            <w:r w:rsidRPr="00467A9F">
              <w:rPr>
                <w:b w:val="0"/>
                <w:bCs w:val="0"/>
              </w:rPr>
              <w:t xml:space="preserve">   Not clear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118B78" w14:textId="0207E0F7" w:rsidR="002411F5" w:rsidRDefault="002411F5" w:rsidP="00241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  <w:r w:rsidR="00013F13">
              <w:t xml:space="preserve"> </w:t>
            </w:r>
            <w:r>
              <w:t>(2%)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205256" w14:textId="472B5689" w:rsidR="002411F5" w:rsidRDefault="002411F5" w:rsidP="00241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4720">
              <w:t>7</w:t>
            </w:r>
            <w:r w:rsidR="00013F13">
              <w:t xml:space="preserve"> </w:t>
            </w:r>
            <w:r w:rsidRPr="00A44720">
              <w:t>(2%)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C037B9E" w14:textId="77777777" w:rsidR="002411F5" w:rsidRDefault="002411F5" w:rsidP="00241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411F5" w14:paraId="50743168" w14:textId="77777777" w:rsidTr="001E2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E9D417" w14:textId="77777777" w:rsidR="002411F5" w:rsidRPr="001E74CB" w:rsidRDefault="002411F5" w:rsidP="002411F5">
            <w:pPr>
              <w:rPr>
                <w:b w:val="0"/>
                <w:bCs w:val="0"/>
              </w:rPr>
            </w:pPr>
            <w:r>
              <w:t xml:space="preserve">   </w:t>
            </w:r>
            <w:r>
              <w:rPr>
                <w:b w:val="0"/>
                <w:bCs w:val="0"/>
              </w:rPr>
              <w:t>Missing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7A57FC" w14:textId="034E072D" w:rsidR="002411F5" w:rsidRDefault="002411F5" w:rsidP="00241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</w:t>
            </w:r>
            <w:r w:rsidR="00013F13">
              <w:t xml:space="preserve"> </w:t>
            </w:r>
            <w:r>
              <w:t>(52%)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8E5264" w14:textId="64A396D7" w:rsidR="002411F5" w:rsidRDefault="002411F5" w:rsidP="00241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4720">
              <w:t>182</w:t>
            </w:r>
            <w:r w:rsidR="00013F13">
              <w:t xml:space="preserve"> </w:t>
            </w:r>
            <w:r w:rsidRPr="00A44720">
              <w:t>(43%)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3FB72E9" w14:textId="77777777" w:rsidR="002411F5" w:rsidRDefault="002411F5" w:rsidP="00241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4665" w14:paraId="5ADC9F02" w14:textId="77777777" w:rsidTr="001E2B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2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339994" w14:textId="41BE7219" w:rsidR="009A4665" w:rsidRDefault="009A4665" w:rsidP="002411F5">
            <w:r>
              <w:t>N.</w:t>
            </w:r>
            <w:r w:rsidRPr="00F20953">
              <w:t xml:space="preserve"> of measurements</w:t>
            </w:r>
            <w:r w:rsidR="007F095E">
              <w:t xml:space="preserve"> for </w:t>
            </w:r>
            <w:proofErr w:type="spellStart"/>
            <w:r w:rsidR="00D64E21">
              <w:t>FlowC</w:t>
            </w:r>
            <w:proofErr w:type="spellEnd"/>
            <w:r w:rsidR="00D64E21">
              <w:t xml:space="preserve"> </w:t>
            </w:r>
            <w:r w:rsidR="007F095E">
              <w:t>test</w:t>
            </w:r>
            <w:r w:rsidRPr="00F20953">
              <w:t xml:space="preserve"> </w:t>
            </w:r>
            <w:r>
              <w:t>(%)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97A285" w14:textId="77777777" w:rsidR="009A4665" w:rsidRDefault="009A4665" w:rsidP="00241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142CDC3" w14:textId="77777777" w:rsidR="009A4665" w:rsidRPr="00BD67FD" w:rsidRDefault="009A4665" w:rsidP="00241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411F5" w14:paraId="07707AF5" w14:textId="77777777" w:rsidTr="001E2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CD0284" w14:textId="77777777" w:rsidR="002411F5" w:rsidRPr="00AF6A9C" w:rsidRDefault="002411F5" w:rsidP="002411F5">
            <w:r>
              <w:rPr>
                <w:b w:val="0"/>
                <w:bCs w:val="0"/>
              </w:rPr>
              <w:t xml:space="preserve">   One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E66648" w14:textId="77777777" w:rsidR="002411F5" w:rsidRDefault="002411F5" w:rsidP="00241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 (11%)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EEBA51" w14:textId="77777777" w:rsidR="002411F5" w:rsidRDefault="002411F5" w:rsidP="00241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56E66F4" w14:textId="77777777" w:rsidR="002411F5" w:rsidRPr="00BD67FD" w:rsidRDefault="002411F5" w:rsidP="00241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411F5" w14:paraId="4E763F00" w14:textId="77777777" w:rsidTr="001E2B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129B418" w14:textId="77777777" w:rsidR="002411F5" w:rsidRPr="00467A9F" w:rsidRDefault="002411F5" w:rsidP="002411F5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  Two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EE9AD7" w14:textId="77777777" w:rsidR="002411F5" w:rsidRDefault="002411F5" w:rsidP="00241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 (25%)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B704B2" w14:textId="77777777" w:rsidR="002411F5" w:rsidRDefault="002411F5" w:rsidP="00241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33BF6C2" w14:textId="77777777" w:rsidR="002411F5" w:rsidRPr="00BD67FD" w:rsidRDefault="002411F5" w:rsidP="00241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411F5" w14:paraId="3F2EC71F" w14:textId="77777777" w:rsidTr="001E2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95BCAA1" w14:textId="77777777" w:rsidR="002411F5" w:rsidRPr="00467A9F" w:rsidRDefault="002411F5" w:rsidP="002411F5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  Three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793DFB" w14:textId="77777777" w:rsidR="002411F5" w:rsidRDefault="002411F5" w:rsidP="00241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 (25%)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4BA890" w14:textId="77777777" w:rsidR="002411F5" w:rsidRDefault="002411F5" w:rsidP="00241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88E891B" w14:textId="77777777" w:rsidR="002411F5" w:rsidRPr="00BD67FD" w:rsidRDefault="002411F5" w:rsidP="00241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411F5" w14:paraId="3D3A6551" w14:textId="77777777" w:rsidTr="001E2B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99C2D6" w14:textId="77777777" w:rsidR="002411F5" w:rsidRPr="00467A9F" w:rsidRDefault="002411F5" w:rsidP="002411F5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  Four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D445AA" w14:textId="77777777" w:rsidR="002411F5" w:rsidRDefault="002411F5" w:rsidP="00241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 (26%)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814DE5" w14:textId="77777777" w:rsidR="002411F5" w:rsidRDefault="002411F5" w:rsidP="00241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A9625F2" w14:textId="77777777" w:rsidR="002411F5" w:rsidRPr="00BD67FD" w:rsidRDefault="002411F5" w:rsidP="00241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411F5" w14:paraId="30AF526C" w14:textId="77777777" w:rsidTr="001E2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44DBB4E" w14:textId="77777777" w:rsidR="002411F5" w:rsidRDefault="002411F5" w:rsidP="002411F5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  Five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1761E0" w14:textId="77777777" w:rsidR="002411F5" w:rsidRDefault="002411F5" w:rsidP="00241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 (11%)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128D3D" w14:textId="77777777" w:rsidR="002411F5" w:rsidRDefault="002411F5" w:rsidP="00241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BC14636" w14:textId="77777777" w:rsidR="002411F5" w:rsidRPr="00BD67FD" w:rsidRDefault="002411F5" w:rsidP="00241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411F5" w14:paraId="1AD5C69A" w14:textId="77777777" w:rsidTr="001E2B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50F9B3AE" w14:textId="77777777" w:rsidR="002411F5" w:rsidRDefault="002411F5" w:rsidP="002411F5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   Six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6EE7C4" w14:textId="77777777" w:rsidR="002411F5" w:rsidRDefault="002411F5" w:rsidP="00241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 (2%)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BDFD9B" w14:textId="77777777" w:rsidR="002411F5" w:rsidRDefault="002411F5" w:rsidP="00241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0EB6EE04" w14:textId="77777777" w:rsidR="002411F5" w:rsidRPr="00BD67FD" w:rsidRDefault="002411F5" w:rsidP="002411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4665" w14:paraId="3D1E34D2" w14:textId="77777777" w:rsidTr="001E2B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4"/>
            <w:tcBorders>
              <w:top w:val="single" w:sz="4" w:space="0" w:color="auto"/>
              <w:bottom w:val="single" w:sz="4" w:space="0" w:color="7F7F7F" w:themeColor="text1" w:themeTint="80"/>
            </w:tcBorders>
            <w:shd w:val="clear" w:color="auto" w:fill="auto"/>
          </w:tcPr>
          <w:p w14:paraId="37E57C2D" w14:textId="5463D95E" w:rsidR="009A4665" w:rsidRPr="000B1AAC" w:rsidRDefault="009A4665" w:rsidP="009A4665">
            <w:pPr>
              <w:rPr>
                <w:b w:val="0"/>
                <w:bCs w:val="0"/>
              </w:rPr>
            </w:pPr>
            <w:r w:rsidRPr="007D5B7A">
              <w:t>*</w:t>
            </w:r>
            <w:r w:rsidRPr="007D5B7A">
              <w:rPr>
                <w:b w:val="0"/>
                <w:bCs w:val="0"/>
              </w:rPr>
              <w:t xml:space="preserve">P value for the differences between patients included in the </w:t>
            </w:r>
            <w:r>
              <w:rPr>
                <w:b w:val="0"/>
                <w:bCs w:val="0"/>
              </w:rPr>
              <w:t>analysis</w:t>
            </w:r>
            <w:r w:rsidRPr="007D5B7A">
              <w:rPr>
                <w:b w:val="0"/>
                <w:bCs w:val="0"/>
              </w:rPr>
              <w:t xml:space="preserve"> and patients not included in the </w:t>
            </w:r>
            <w:r>
              <w:rPr>
                <w:b w:val="0"/>
                <w:bCs w:val="0"/>
              </w:rPr>
              <w:t xml:space="preserve">analysis; </w:t>
            </w:r>
            <w:r w:rsidRPr="000B1AAC">
              <w:rPr>
                <w:b w:val="0"/>
                <w:bCs w:val="0"/>
              </w:rPr>
              <w:t>Wilcoxon rank sum test was used for the comparison of continuous variables whereas Chi-square test was used for the comparison of categorical variables.</w:t>
            </w:r>
          </w:p>
          <w:p w14:paraId="4FEC73AB" w14:textId="1F8C7710" w:rsidR="009A4665" w:rsidRPr="00BD67FD" w:rsidRDefault="009A4665" w:rsidP="009A4665">
            <w:r w:rsidRPr="007D5B7A">
              <w:rPr>
                <w:vertAlign w:val="superscript"/>
              </w:rPr>
              <w:sym w:font="Symbol" w:char="F02B"/>
            </w:r>
            <w:r w:rsidRPr="007D5B7A">
              <w:rPr>
                <w:b w:val="0"/>
                <w:bCs w:val="0"/>
              </w:rPr>
              <w:t xml:space="preserve">Results available for </w:t>
            </w:r>
            <w:r>
              <w:rPr>
                <w:b w:val="0"/>
                <w:bCs w:val="0"/>
              </w:rPr>
              <w:t>73</w:t>
            </w:r>
            <w:r w:rsidRPr="007D5B7A">
              <w:rPr>
                <w:b w:val="0"/>
                <w:bCs w:val="0"/>
              </w:rPr>
              <w:t xml:space="preserve"> of the </w:t>
            </w:r>
            <w:r>
              <w:rPr>
                <w:b w:val="0"/>
                <w:bCs w:val="0"/>
              </w:rPr>
              <w:t>92</w:t>
            </w:r>
            <w:r w:rsidRPr="007D5B7A">
              <w:rPr>
                <w:b w:val="0"/>
                <w:bCs w:val="0"/>
              </w:rPr>
              <w:t xml:space="preserve"> patients included in the </w:t>
            </w:r>
            <w:r>
              <w:rPr>
                <w:b w:val="0"/>
                <w:bCs w:val="0"/>
              </w:rPr>
              <w:t>analysis</w:t>
            </w:r>
            <w:r w:rsidRPr="007D5B7A">
              <w:rPr>
                <w:b w:val="0"/>
                <w:bCs w:val="0"/>
              </w:rPr>
              <w:t>, and 351 of the entire 420 patients in Stockholm.</w:t>
            </w:r>
          </w:p>
        </w:tc>
      </w:tr>
    </w:tbl>
    <w:p w14:paraId="23AD6223" w14:textId="51914EE7" w:rsidR="00691FFA" w:rsidRPr="00A91299" w:rsidRDefault="00691FFA" w:rsidP="00A91299">
      <w:pPr>
        <w:rPr>
          <w:b/>
          <w:bCs/>
          <w:sz w:val="28"/>
          <w:szCs w:val="28"/>
        </w:rPr>
      </w:pPr>
    </w:p>
    <w:sectPr w:rsidR="00691FFA" w:rsidRPr="00A91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UyNbK0sDA3MDc1tTBR0lEKTi0uzszPAymwqAUAhsgdniwAAAA="/>
  </w:docVars>
  <w:rsids>
    <w:rsidRoot w:val="00F75BBA"/>
    <w:rsid w:val="000027B2"/>
    <w:rsid w:val="000102A5"/>
    <w:rsid w:val="00013F13"/>
    <w:rsid w:val="0003201F"/>
    <w:rsid w:val="0004412F"/>
    <w:rsid w:val="00052407"/>
    <w:rsid w:val="000712E3"/>
    <w:rsid w:val="000778ED"/>
    <w:rsid w:val="00081C98"/>
    <w:rsid w:val="00085312"/>
    <w:rsid w:val="0009189D"/>
    <w:rsid w:val="000A098E"/>
    <w:rsid w:val="000A1CE5"/>
    <w:rsid w:val="000A1FAC"/>
    <w:rsid w:val="000A27CD"/>
    <w:rsid w:val="000A35AA"/>
    <w:rsid w:val="000A7509"/>
    <w:rsid w:val="000B7A00"/>
    <w:rsid w:val="000C062E"/>
    <w:rsid w:val="000C41AD"/>
    <w:rsid w:val="000C4ADE"/>
    <w:rsid w:val="000C5993"/>
    <w:rsid w:val="000C7479"/>
    <w:rsid w:val="000F4F17"/>
    <w:rsid w:val="00106259"/>
    <w:rsid w:val="001104AF"/>
    <w:rsid w:val="00124CC8"/>
    <w:rsid w:val="00125BA7"/>
    <w:rsid w:val="00137CAC"/>
    <w:rsid w:val="0014013C"/>
    <w:rsid w:val="00140F81"/>
    <w:rsid w:val="001444ED"/>
    <w:rsid w:val="001523DD"/>
    <w:rsid w:val="00165832"/>
    <w:rsid w:val="0016766E"/>
    <w:rsid w:val="00174BE1"/>
    <w:rsid w:val="00181848"/>
    <w:rsid w:val="00193C09"/>
    <w:rsid w:val="001E2BFD"/>
    <w:rsid w:val="001F07A1"/>
    <w:rsid w:val="001F68EF"/>
    <w:rsid w:val="0021436A"/>
    <w:rsid w:val="0021520F"/>
    <w:rsid w:val="0021565E"/>
    <w:rsid w:val="0022580F"/>
    <w:rsid w:val="00230C1B"/>
    <w:rsid w:val="002329C9"/>
    <w:rsid w:val="002411F5"/>
    <w:rsid w:val="00245E32"/>
    <w:rsid w:val="00246168"/>
    <w:rsid w:val="002466AA"/>
    <w:rsid w:val="00247F8C"/>
    <w:rsid w:val="002557F1"/>
    <w:rsid w:val="002602F3"/>
    <w:rsid w:val="00265658"/>
    <w:rsid w:val="00273330"/>
    <w:rsid w:val="00283D33"/>
    <w:rsid w:val="00285E7C"/>
    <w:rsid w:val="00286C45"/>
    <w:rsid w:val="00291BB1"/>
    <w:rsid w:val="002A22C9"/>
    <w:rsid w:val="002A35D3"/>
    <w:rsid w:val="002B0219"/>
    <w:rsid w:val="002B068D"/>
    <w:rsid w:val="002B0A57"/>
    <w:rsid w:val="002B4B23"/>
    <w:rsid w:val="002B7F5F"/>
    <w:rsid w:val="002C19AE"/>
    <w:rsid w:val="002D14D8"/>
    <w:rsid w:val="002E40C5"/>
    <w:rsid w:val="002F4B59"/>
    <w:rsid w:val="00305DA7"/>
    <w:rsid w:val="00324A18"/>
    <w:rsid w:val="00327CD2"/>
    <w:rsid w:val="00335C80"/>
    <w:rsid w:val="00337A78"/>
    <w:rsid w:val="00352E70"/>
    <w:rsid w:val="003637FB"/>
    <w:rsid w:val="00385FD3"/>
    <w:rsid w:val="003A02F0"/>
    <w:rsid w:val="003A04FF"/>
    <w:rsid w:val="003A76D7"/>
    <w:rsid w:val="003B54BA"/>
    <w:rsid w:val="003B5DCC"/>
    <w:rsid w:val="003D2D70"/>
    <w:rsid w:val="003D7D7D"/>
    <w:rsid w:val="003E5607"/>
    <w:rsid w:val="003F09D7"/>
    <w:rsid w:val="003F1CA6"/>
    <w:rsid w:val="0042440B"/>
    <w:rsid w:val="00430B13"/>
    <w:rsid w:val="004357B9"/>
    <w:rsid w:val="00442735"/>
    <w:rsid w:val="00455EE7"/>
    <w:rsid w:val="004668C6"/>
    <w:rsid w:val="004734D2"/>
    <w:rsid w:val="00497F87"/>
    <w:rsid w:val="004B2369"/>
    <w:rsid w:val="004B2CAE"/>
    <w:rsid w:val="004C1D33"/>
    <w:rsid w:val="004D4A50"/>
    <w:rsid w:val="004E017E"/>
    <w:rsid w:val="004E0778"/>
    <w:rsid w:val="004F3FDB"/>
    <w:rsid w:val="0050434E"/>
    <w:rsid w:val="005118BC"/>
    <w:rsid w:val="00513EA4"/>
    <w:rsid w:val="0053433B"/>
    <w:rsid w:val="0056233B"/>
    <w:rsid w:val="00572C19"/>
    <w:rsid w:val="00577990"/>
    <w:rsid w:val="0058195F"/>
    <w:rsid w:val="005823A2"/>
    <w:rsid w:val="00583F63"/>
    <w:rsid w:val="00594DE5"/>
    <w:rsid w:val="005A02F0"/>
    <w:rsid w:val="005A395A"/>
    <w:rsid w:val="005B0C65"/>
    <w:rsid w:val="005B11EA"/>
    <w:rsid w:val="005B3F87"/>
    <w:rsid w:val="005D19F8"/>
    <w:rsid w:val="005E35CA"/>
    <w:rsid w:val="005E7237"/>
    <w:rsid w:val="00607B92"/>
    <w:rsid w:val="0061592C"/>
    <w:rsid w:val="00616B1D"/>
    <w:rsid w:val="00622890"/>
    <w:rsid w:val="00622DCE"/>
    <w:rsid w:val="00630BF1"/>
    <w:rsid w:val="00634F23"/>
    <w:rsid w:val="00635EFB"/>
    <w:rsid w:val="00635FE1"/>
    <w:rsid w:val="006428E2"/>
    <w:rsid w:val="00650389"/>
    <w:rsid w:val="00653B78"/>
    <w:rsid w:val="006615D6"/>
    <w:rsid w:val="00662547"/>
    <w:rsid w:val="00665CB0"/>
    <w:rsid w:val="00667BC0"/>
    <w:rsid w:val="00675884"/>
    <w:rsid w:val="00675E00"/>
    <w:rsid w:val="00681ABD"/>
    <w:rsid w:val="00691FFA"/>
    <w:rsid w:val="0069674A"/>
    <w:rsid w:val="00697417"/>
    <w:rsid w:val="006A1373"/>
    <w:rsid w:val="006A1D6D"/>
    <w:rsid w:val="006C443F"/>
    <w:rsid w:val="006E1258"/>
    <w:rsid w:val="006F1A18"/>
    <w:rsid w:val="006F4A13"/>
    <w:rsid w:val="006F5739"/>
    <w:rsid w:val="0070064E"/>
    <w:rsid w:val="007208DD"/>
    <w:rsid w:val="00726580"/>
    <w:rsid w:val="00735B10"/>
    <w:rsid w:val="00736CE4"/>
    <w:rsid w:val="00745346"/>
    <w:rsid w:val="00761401"/>
    <w:rsid w:val="007705F4"/>
    <w:rsid w:val="00775D8A"/>
    <w:rsid w:val="00776572"/>
    <w:rsid w:val="0079125C"/>
    <w:rsid w:val="007A36D6"/>
    <w:rsid w:val="007A393D"/>
    <w:rsid w:val="007F095E"/>
    <w:rsid w:val="007F1839"/>
    <w:rsid w:val="007F3D9F"/>
    <w:rsid w:val="008013CC"/>
    <w:rsid w:val="00805C89"/>
    <w:rsid w:val="00810D16"/>
    <w:rsid w:val="008209C3"/>
    <w:rsid w:val="008264DB"/>
    <w:rsid w:val="0082772D"/>
    <w:rsid w:val="00841EB2"/>
    <w:rsid w:val="00853854"/>
    <w:rsid w:val="00865CEA"/>
    <w:rsid w:val="008724A2"/>
    <w:rsid w:val="00881D67"/>
    <w:rsid w:val="00890A98"/>
    <w:rsid w:val="008968F3"/>
    <w:rsid w:val="008A15CE"/>
    <w:rsid w:val="008C3311"/>
    <w:rsid w:val="008D1683"/>
    <w:rsid w:val="008E511E"/>
    <w:rsid w:val="008E5AFE"/>
    <w:rsid w:val="009017AB"/>
    <w:rsid w:val="009023C5"/>
    <w:rsid w:val="00915917"/>
    <w:rsid w:val="00925897"/>
    <w:rsid w:val="009340EB"/>
    <w:rsid w:val="00954BF3"/>
    <w:rsid w:val="00961AA2"/>
    <w:rsid w:val="00970BFF"/>
    <w:rsid w:val="0097487E"/>
    <w:rsid w:val="009908D3"/>
    <w:rsid w:val="0099345F"/>
    <w:rsid w:val="009940AA"/>
    <w:rsid w:val="009A4665"/>
    <w:rsid w:val="009A6591"/>
    <w:rsid w:val="009C12CA"/>
    <w:rsid w:val="009F1662"/>
    <w:rsid w:val="009F300D"/>
    <w:rsid w:val="009F5FF8"/>
    <w:rsid w:val="00A25E2E"/>
    <w:rsid w:val="00A60815"/>
    <w:rsid w:val="00A60C2F"/>
    <w:rsid w:val="00A61026"/>
    <w:rsid w:val="00A67379"/>
    <w:rsid w:val="00A72E21"/>
    <w:rsid w:val="00A77DDD"/>
    <w:rsid w:val="00A824B8"/>
    <w:rsid w:val="00A868E7"/>
    <w:rsid w:val="00A91299"/>
    <w:rsid w:val="00AC36B1"/>
    <w:rsid w:val="00AD5188"/>
    <w:rsid w:val="00AF0719"/>
    <w:rsid w:val="00B00969"/>
    <w:rsid w:val="00B01D25"/>
    <w:rsid w:val="00B26331"/>
    <w:rsid w:val="00B32E9D"/>
    <w:rsid w:val="00B36EE3"/>
    <w:rsid w:val="00B56D96"/>
    <w:rsid w:val="00B66AE3"/>
    <w:rsid w:val="00B7135E"/>
    <w:rsid w:val="00B75F5A"/>
    <w:rsid w:val="00B80341"/>
    <w:rsid w:val="00B90474"/>
    <w:rsid w:val="00B97073"/>
    <w:rsid w:val="00BA4D46"/>
    <w:rsid w:val="00BA56EC"/>
    <w:rsid w:val="00BB1092"/>
    <w:rsid w:val="00BB1D57"/>
    <w:rsid w:val="00BB731F"/>
    <w:rsid w:val="00BC237A"/>
    <w:rsid w:val="00BC7672"/>
    <w:rsid w:val="00BD7A81"/>
    <w:rsid w:val="00BF404C"/>
    <w:rsid w:val="00C22306"/>
    <w:rsid w:val="00C23E73"/>
    <w:rsid w:val="00C37BEF"/>
    <w:rsid w:val="00C5436F"/>
    <w:rsid w:val="00C6710D"/>
    <w:rsid w:val="00C73F9F"/>
    <w:rsid w:val="00C84C61"/>
    <w:rsid w:val="00CA4413"/>
    <w:rsid w:val="00CB1AF4"/>
    <w:rsid w:val="00CC65A4"/>
    <w:rsid w:val="00CC71BB"/>
    <w:rsid w:val="00CE4774"/>
    <w:rsid w:val="00D0653C"/>
    <w:rsid w:val="00D164FD"/>
    <w:rsid w:val="00D27DDC"/>
    <w:rsid w:val="00D33FC2"/>
    <w:rsid w:val="00D3647E"/>
    <w:rsid w:val="00D4577C"/>
    <w:rsid w:val="00D46EBA"/>
    <w:rsid w:val="00D64E21"/>
    <w:rsid w:val="00D65E07"/>
    <w:rsid w:val="00D75BAF"/>
    <w:rsid w:val="00D810EC"/>
    <w:rsid w:val="00D94480"/>
    <w:rsid w:val="00DA7FBA"/>
    <w:rsid w:val="00DD474B"/>
    <w:rsid w:val="00DD56DB"/>
    <w:rsid w:val="00DE203F"/>
    <w:rsid w:val="00DE2B4D"/>
    <w:rsid w:val="00DE4264"/>
    <w:rsid w:val="00DF31CD"/>
    <w:rsid w:val="00E043A8"/>
    <w:rsid w:val="00E052D7"/>
    <w:rsid w:val="00E06393"/>
    <w:rsid w:val="00E15783"/>
    <w:rsid w:val="00E23E91"/>
    <w:rsid w:val="00E36AD0"/>
    <w:rsid w:val="00E4399B"/>
    <w:rsid w:val="00E60F66"/>
    <w:rsid w:val="00E7315F"/>
    <w:rsid w:val="00E77775"/>
    <w:rsid w:val="00E807E3"/>
    <w:rsid w:val="00E84886"/>
    <w:rsid w:val="00EA238C"/>
    <w:rsid w:val="00EB07D6"/>
    <w:rsid w:val="00EC2381"/>
    <w:rsid w:val="00ED5E2D"/>
    <w:rsid w:val="00EE6424"/>
    <w:rsid w:val="00F00C7D"/>
    <w:rsid w:val="00F03286"/>
    <w:rsid w:val="00F13DE3"/>
    <w:rsid w:val="00F31AA0"/>
    <w:rsid w:val="00F325E4"/>
    <w:rsid w:val="00F4154A"/>
    <w:rsid w:val="00F479CC"/>
    <w:rsid w:val="00F55178"/>
    <w:rsid w:val="00F56212"/>
    <w:rsid w:val="00F61C5B"/>
    <w:rsid w:val="00F75BBA"/>
    <w:rsid w:val="00F7777E"/>
    <w:rsid w:val="00F82193"/>
    <w:rsid w:val="00F832D7"/>
    <w:rsid w:val="00F935A2"/>
    <w:rsid w:val="00FA0912"/>
    <w:rsid w:val="00FA17F0"/>
    <w:rsid w:val="00FB39DC"/>
    <w:rsid w:val="00FB4A28"/>
    <w:rsid w:val="00FB6C8A"/>
    <w:rsid w:val="00FE1AA3"/>
    <w:rsid w:val="00FF0B97"/>
    <w:rsid w:val="00FF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04FD0"/>
  <w15:chartTrackingRefBased/>
  <w15:docId w15:val="{744E3AB8-81B3-4339-990E-20122E048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1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AD5188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25B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5B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5BA7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5B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5BA7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9A6591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DF3DB05156D147B2D0AB6859064509" ma:contentTypeVersion="14" ma:contentTypeDescription="Skapa ett nytt dokument." ma:contentTypeScope="" ma:versionID="700c04a6cea20986b34abb89fed62831">
  <xsd:schema xmlns:xsd="http://www.w3.org/2001/XMLSchema" xmlns:xs="http://www.w3.org/2001/XMLSchema" xmlns:p="http://schemas.microsoft.com/office/2006/metadata/properties" xmlns:ns3="41e03578-6ce5-4620-b478-ed78c49ce268" xmlns:ns4="cdb42919-e907-4af9-bde6-ef21bc62ca3a" targetNamespace="http://schemas.microsoft.com/office/2006/metadata/properties" ma:root="true" ma:fieldsID="ef8de2b65366ee8dd5160269c25e2ad6" ns3:_="" ns4:_="">
    <xsd:import namespace="41e03578-6ce5-4620-b478-ed78c49ce268"/>
    <xsd:import namespace="cdb42919-e907-4af9-bde6-ef21bc62ca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03578-6ce5-4620-b478-ed78c49ce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b42919-e907-4af9-bde6-ef21bc62ca3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1A0D13-78F9-4198-82A2-B80E419A89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C615E7-ACDB-4D42-ADFD-0C60906F81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03578-6ce5-4620-b478-ed78c49ce268"/>
    <ds:schemaRef ds:uri="cdb42919-e907-4af9-bde6-ef21bc62ca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06F05C-5525-42DB-8481-A76ABBE820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 Cui</dc:creator>
  <cp:keywords/>
  <dc:description/>
  <cp:lastModifiedBy>Can Cui</cp:lastModifiedBy>
  <cp:revision>3</cp:revision>
  <cp:lastPrinted>2021-09-16T13:47:00Z</cp:lastPrinted>
  <dcterms:created xsi:type="dcterms:W3CDTF">2022-02-02T08:14:00Z</dcterms:created>
  <dcterms:modified xsi:type="dcterms:W3CDTF">2022-02-02T08:24:00Z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0x010100AADF3DB05156D147B2D0AB6859064509</vt:lpwstr>
  </property>
</Properties>
</file>