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8C62" w14:textId="69FE89D0" w:rsidR="005C7364" w:rsidRDefault="00752B07" w:rsidP="00ED3E28">
      <w:pPr>
        <w:pStyle w:val="Titre1"/>
        <w:suppressLineNumbers/>
        <w:rPr>
          <w:lang w:val="en-US"/>
        </w:rPr>
      </w:pPr>
      <w:r>
        <w:rPr>
          <w:lang w:val="en-US"/>
        </w:rPr>
        <w:t xml:space="preserve">Supplementary File </w:t>
      </w:r>
      <w:r w:rsidR="004A4BCF">
        <w:rPr>
          <w:lang w:val="en-US"/>
        </w:rPr>
        <w:t>3</w:t>
      </w:r>
    </w:p>
    <w:p w14:paraId="2FE3077F" w14:textId="77777777" w:rsidR="00752B07" w:rsidRPr="00752B07" w:rsidRDefault="00752B07" w:rsidP="00ED3E28">
      <w:pPr>
        <w:suppressLineNumbers/>
        <w:rPr>
          <w:lang w:val="en-US"/>
        </w:rPr>
      </w:pPr>
    </w:p>
    <w:tbl>
      <w:tblPr>
        <w:tblStyle w:val="Grilledutableau"/>
        <w:tblW w:w="0" w:type="auto"/>
        <w:tblLook w:val="04A0" w:firstRow="1" w:lastRow="0" w:firstColumn="1" w:lastColumn="0" w:noHBand="0" w:noVBand="1"/>
      </w:tblPr>
      <w:tblGrid>
        <w:gridCol w:w="922"/>
        <w:gridCol w:w="1054"/>
        <w:gridCol w:w="4395"/>
        <w:gridCol w:w="2691"/>
      </w:tblGrid>
      <w:tr w:rsidR="00DA1417" w:rsidRPr="00DA1417" w14:paraId="4824BB98" w14:textId="77777777" w:rsidTr="00E229FC">
        <w:tc>
          <w:tcPr>
            <w:tcW w:w="922" w:type="dxa"/>
            <w:tcBorders>
              <w:top w:val="single" w:sz="4" w:space="0" w:color="auto"/>
              <w:left w:val="single" w:sz="4" w:space="0" w:color="auto"/>
              <w:bottom w:val="single" w:sz="4" w:space="0" w:color="auto"/>
              <w:right w:val="single" w:sz="4" w:space="0" w:color="auto"/>
            </w:tcBorders>
            <w:hideMark/>
          </w:tcPr>
          <w:p w14:paraId="4A5E66CA" w14:textId="77777777" w:rsidR="005C7364" w:rsidRPr="00DA1417" w:rsidRDefault="005C7364" w:rsidP="00281A35">
            <w:pPr>
              <w:jc w:val="both"/>
              <w:rPr>
                <w:b/>
                <w:bCs/>
                <w:shd w:val="clear" w:color="auto" w:fill="FFFFFF"/>
                <w:lang w:val="en-US"/>
              </w:rPr>
            </w:pPr>
            <w:r w:rsidRPr="00DA1417">
              <w:rPr>
                <w:rFonts w:ascii="Symbol" w:hAnsi="Symbol"/>
                <w:b/>
                <w:bCs/>
                <w:shd w:val="clear" w:color="auto" w:fill="FFFFFF"/>
                <w:lang w:val="en-US"/>
              </w:rPr>
              <w:t>l</w:t>
            </w:r>
            <w:r w:rsidRPr="00DA1417">
              <w:rPr>
                <w:b/>
                <w:bCs/>
                <w:shd w:val="clear" w:color="auto" w:fill="FFFFFF"/>
                <w:lang w:val="en-US"/>
              </w:rPr>
              <w:t xml:space="preserve"> in µm</w:t>
            </w:r>
          </w:p>
        </w:tc>
        <w:tc>
          <w:tcPr>
            <w:tcW w:w="1054" w:type="dxa"/>
            <w:tcBorders>
              <w:top w:val="single" w:sz="4" w:space="0" w:color="auto"/>
              <w:left w:val="single" w:sz="4" w:space="0" w:color="auto"/>
              <w:bottom w:val="single" w:sz="4" w:space="0" w:color="auto"/>
              <w:right w:val="single" w:sz="4" w:space="0" w:color="auto"/>
            </w:tcBorders>
            <w:hideMark/>
          </w:tcPr>
          <w:p w14:paraId="229A2F66" w14:textId="77777777" w:rsidR="005C7364" w:rsidRPr="00DA1417" w:rsidRDefault="005C7364" w:rsidP="00281A35">
            <w:pPr>
              <w:jc w:val="both"/>
              <w:rPr>
                <w:b/>
                <w:bCs/>
                <w:shd w:val="clear" w:color="auto" w:fill="FFFFFF"/>
                <w:lang w:val="en-US"/>
              </w:rPr>
            </w:pPr>
            <w:r w:rsidRPr="00DA1417">
              <w:rPr>
                <w:rFonts w:ascii="Symbol" w:hAnsi="Symbol"/>
                <w:b/>
                <w:bCs/>
                <w:shd w:val="clear" w:color="auto" w:fill="FFFFFF"/>
                <w:lang w:val="en-US"/>
              </w:rPr>
              <w:t>l</w:t>
            </w:r>
            <w:r w:rsidRPr="00DA1417">
              <w:rPr>
                <w:b/>
                <w:bCs/>
                <w:shd w:val="clear" w:color="auto" w:fill="FFFFFF"/>
                <w:lang w:val="en-US"/>
              </w:rPr>
              <w:t xml:space="preserve"> as % EL</w:t>
            </w:r>
          </w:p>
        </w:tc>
        <w:tc>
          <w:tcPr>
            <w:tcW w:w="4395" w:type="dxa"/>
            <w:tcBorders>
              <w:top w:val="single" w:sz="4" w:space="0" w:color="auto"/>
              <w:left w:val="single" w:sz="4" w:space="0" w:color="auto"/>
              <w:bottom w:val="single" w:sz="4" w:space="0" w:color="auto"/>
              <w:right w:val="single" w:sz="4" w:space="0" w:color="auto"/>
            </w:tcBorders>
            <w:hideMark/>
          </w:tcPr>
          <w:p w14:paraId="101911A2" w14:textId="77777777" w:rsidR="005C7364" w:rsidRPr="00DA1417" w:rsidRDefault="005C7364" w:rsidP="00281A35">
            <w:pPr>
              <w:jc w:val="both"/>
              <w:rPr>
                <w:b/>
                <w:bCs/>
                <w:shd w:val="clear" w:color="auto" w:fill="FFFFFF"/>
                <w:lang w:val="en-US"/>
              </w:rPr>
            </w:pPr>
            <w:r w:rsidRPr="00DA1417">
              <w:rPr>
                <w:b/>
                <w:bCs/>
                <w:shd w:val="clear" w:color="auto" w:fill="FFFFFF"/>
                <w:lang w:val="en-US"/>
              </w:rPr>
              <w:t>Method of detection</w:t>
            </w:r>
          </w:p>
        </w:tc>
        <w:tc>
          <w:tcPr>
            <w:tcW w:w="2691" w:type="dxa"/>
            <w:tcBorders>
              <w:top w:val="single" w:sz="4" w:space="0" w:color="auto"/>
              <w:left w:val="single" w:sz="4" w:space="0" w:color="auto"/>
              <w:bottom w:val="single" w:sz="4" w:space="0" w:color="auto"/>
              <w:right w:val="single" w:sz="4" w:space="0" w:color="auto"/>
            </w:tcBorders>
            <w:hideMark/>
          </w:tcPr>
          <w:p w14:paraId="2CC62275" w14:textId="77777777" w:rsidR="005C7364" w:rsidRPr="00DA1417" w:rsidRDefault="005C7364" w:rsidP="00281A35">
            <w:pPr>
              <w:jc w:val="both"/>
              <w:rPr>
                <w:b/>
                <w:bCs/>
                <w:shd w:val="clear" w:color="auto" w:fill="FFFFFF"/>
                <w:lang w:val="en-US"/>
              </w:rPr>
            </w:pPr>
            <w:r w:rsidRPr="00DA1417">
              <w:rPr>
                <w:b/>
                <w:bCs/>
                <w:shd w:val="clear" w:color="auto" w:fill="FFFFFF"/>
                <w:lang w:val="en-US"/>
              </w:rPr>
              <w:t>Reference</w:t>
            </w:r>
          </w:p>
        </w:tc>
      </w:tr>
      <w:tr w:rsidR="00DA1417" w:rsidRPr="00DA1417" w14:paraId="73C482EA" w14:textId="77777777" w:rsidTr="00E229FC">
        <w:tc>
          <w:tcPr>
            <w:tcW w:w="922" w:type="dxa"/>
            <w:tcBorders>
              <w:top w:val="single" w:sz="4" w:space="0" w:color="auto"/>
              <w:left w:val="single" w:sz="4" w:space="0" w:color="auto"/>
              <w:bottom w:val="single" w:sz="4" w:space="0" w:color="auto"/>
              <w:right w:val="single" w:sz="4" w:space="0" w:color="auto"/>
            </w:tcBorders>
          </w:tcPr>
          <w:p w14:paraId="7EF34692" w14:textId="62E1B51F" w:rsidR="00262263" w:rsidRPr="00DA1417" w:rsidRDefault="00262263" w:rsidP="00262263">
            <w:pPr>
              <w:jc w:val="both"/>
              <w:rPr>
                <w:shd w:val="clear" w:color="auto" w:fill="FFFFFF"/>
                <w:lang w:val="en-US"/>
              </w:rPr>
            </w:pPr>
            <w:r w:rsidRPr="00DA1417">
              <w:rPr>
                <w:shd w:val="clear" w:color="auto" w:fill="FFFFFF"/>
                <w:lang w:val="en-US"/>
              </w:rPr>
              <w:t>125</w:t>
            </w:r>
          </w:p>
        </w:tc>
        <w:tc>
          <w:tcPr>
            <w:tcW w:w="1054" w:type="dxa"/>
            <w:tcBorders>
              <w:top w:val="single" w:sz="4" w:space="0" w:color="auto"/>
              <w:left w:val="single" w:sz="4" w:space="0" w:color="auto"/>
              <w:bottom w:val="single" w:sz="4" w:space="0" w:color="auto"/>
              <w:right w:val="single" w:sz="4" w:space="0" w:color="auto"/>
            </w:tcBorders>
          </w:tcPr>
          <w:p w14:paraId="55E74FB1" w14:textId="07EE6438" w:rsidR="00262263" w:rsidRPr="00DA1417" w:rsidRDefault="00262263" w:rsidP="00262263">
            <w:pPr>
              <w:jc w:val="both"/>
              <w:rPr>
                <w:shd w:val="clear" w:color="auto" w:fill="FFFFFF"/>
                <w:lang w:val="en-US"/>
              </w:rPr>
            </w:pPr>
            <w:r w:rsidRPr="00DA1417">
              <w:rPr>
                <w:shd w:val="clear" w:color="auto" w:fill="FFFFFF"/>
                <w:lang w:val="en-US"/>
              </w:rPr>
              <w:t>~ 25</w:t>
            </w:r>
          </w:p>
        </w:tc>
        <w:tc>
          <w:tcPr>
            <w:tcW w:w="4395" w:type="dxa"/>
            <w:tcBorders>
              <w:top w:val="single" w:sz="4" w:space="0" w:color="auto"/>
              <w:left w:val="single" w:sz="4" w:space="0" w:color="auto"/>
              <w:bottom w:val="single" w:sz="4" w:space="0" w:color="auto"/>
              <w:right w:val="single" w:sz="4" w:space="0" w:color="auto"/>
            </w:tcBorders>
          </w:tcPr>
          <w:p w14:paraId="25E90E7F" w14:textId="5F8778C8" w:rsidR="00262263" w:rsidRPr="00DA1417" w:rsidRDefault="00262263" w:rsidP="00262263">
            <w:pPr>
              <w:jc w:val="both"/>
              <w:rPr>
                <w:shd w:val="clear" w:color="auto" w:fill="FFFFFF"/>
                <w:lang w:val="en-US"/>
              </w:rPr>
            </w:pPr>
            <w:r w:rsidRPr="00DA1417">
              <w:rPr>
                <w:shd w:val="clear" w:color="auto" w:fill="FFFFFF"/>
                <w:lang w:val="en-US"/>
              </w:rPr>
              <w:t xml:space="preserve">live detection of the </w:t>
            </w:r>
            <w:proofErr w:type="spellStart"/>
            <w:r w:rsidRPr="00DA1417">
              <w:rPr>
                <w:shd w:val="clear" w:color="auto" w:fill="FFFFFF"/>
                <w:lang w:val="en-US"/>
              </w:rPr>
              <w:t>Bcd-eGFP</w:t>
            </w:r>
            <w:proofErr w:type="spellEnd"/>
            <w:r w:rsidRPr="00DA1417">
              <w:rPr>
                <w:shd w:val="clear" w:color="auto" w:fill="FFFFFF"/>
                <w:lang w:val="en-US"/>
              </w:rPr>
              <w:t xml:space="preserve"> fusion</w:t>
            </w:r>
          </w:p>
        </w:tc>
        <w:tc>
          <w:tcPr>
            <w:tcW w:w="2691" w:type="dxa"/>
            <w:tcBorders>
              <w:top w:val="single" w:sz="4" w:space="0" w:color="auto"/>
              <w:left w:val="single" w:sz="4" w:space="0" w:color="auto"/>
              <w:bottom w:val="single" w:sz="4" w:space="0" w:color="auto"/>
              <w:right w:val="single" w:sz="4" w:space="0" w:color="auto"/>
            </w:tcBorders>
          </w:tcPr>
          <w:p w14:paraId="78DDE5C4" w14:textId="7A653F26" w:rsidR="00262263" w:rsidRPr="00DA1417" w:rsidRDefault="00BD7AC6" w:rsidP="00262263">
            <w:pPr>
              <w:jc w:val="both"/>
              <w:rPr>
                <w:shd w:val="clear" w:color="auto" w:fill="FFFFFF"/>
                <w:lang w:val="en-US"/>
              </w:rPr>
            </w:pPr>
            <w:r w:rsidRPr="00DA1417">
              <w:rPr>
                <w:shd w:val="clear" w:color="auto" w:fill="FFFFFF"/>
                <w:lang w:val="en-US"/>
              </w:rPr>
              <w:fldChar w:fldCharType="begin"/>
            </w:r>
            <w:r w:rsidRPr="00DA1417">
              <w:rPr>
                <w:shd w:val="clear" w:color="auto" w:fill="FFFFFF"/>
                <w:lang w:val="en-US"/>
              </w:rPr>
              <w:instrText xml:space="preserve"> ADDIN ZOTERO_ITEM CSL_CITATION {"citationID":"igXLzuIS","properties":{"formattedCitation":"(Abu-Arish et al., 2010)","plainCitation":"(Abu-Arish et al., 2010)","noteIndex":0},"citationItems":[{"id":708,"uris":["http://zotero.org/users/8056494/items/D3ZVS26S"],"uri":["http://zotero.org/users/8056494/items/D3ZVS26S"],"itemData":{"id":708,"type":"article-journal","abstract":"The Bicoid (Bcd) morphogen is essential for pattern formation in fruit flies. It forms an exponential concentration gradient along the embryo AP axis and turns on cascades of target genes in distinct anterior domains. The most commonly accepted model for gradient formation assumes that Bcd travels by simple diffusion and is uniformly degraded across syncytial embryos, yet several recent studies have challenged these ideas. Here, the question of Bcd mobility was investigated using fluorescence correlation spectroscopy in live Drosophila melanogaster embryos. Bcd-EGFP molecules were found to be highly mobile in the cytoplasm during cycles 12-14, with a diffusion coefficient ???7 ??m 2/s. This value is large enough to explain the stable establishment of the Bcd gradient simply by diffusion before cycle 8, i.e., before the onset of zygotic transcription. ?? 2010 by the Biophysical Society.","container-title":"Biophysical Journal","DOI":"10.1016/j.bpj.2010.05.031","ISSN":"00063495","issue":"4","note":"PMID: 20712981\nCitation Key: Abu-Arish2010\nISBN: 0006-3495","page":"33-35","title":"High mobility of Bicoid captured by fluorescence correlation spectroscopy: Implication for the rapid establishment of its gradient","volume":"99","author":[{"family":"Abu-Arish","given":"Asmahan"},{"family":"Porcher","given":"Aude"},{"family":"Czerwonka","given":"Anna"},{"family":"Dostatni","given":"Nathalie"},{"family":"Fradin","given":"Cecile"}],"issued":{"date-parts":[["2010"]]}}}],"schema":"https://github.com/citation-style-language/schema/raw/master/csl-citation.json"} </w:instrText>
            </w:r>
            <w:r w:rsidRPr="00DA1417">
              <w:rPr>
                <w:shd w:val="clear" w:color="auto" w:fill="FFFFFF"/>
                <w:lang w:val="en-US"/>
              </w:rPr>
              <w:fldChar w:fldCharType="separate"/>
            </w:r>
            <w:r w:rsidRPr="00DA1417">
              <w:rPr>
                <w:rFonts w:ascii="Calibri" w:hAnsi="Calibri" w:cs="Calibri"/>
              </w:rPr>
              <w:t>(Abu-Arish et al., 2010)</w:t>
            </w:r>
            <w:r w:rsidRPr="00DA1417">
              <w:rPr>
                <w:shd w:val="clear" w:color="auto" w:fill="FFFFFF"/>
                <w:lang w:val="en-US"/>
              </w:rPr>
              <w:fldChar w:fldCharType="end"/>
            </w:r>
          </w:p>
        </w:tc>
      </w:tr>
      <w:tr w:rsidR="00DA1417" w:rsidRPr="00DA1417" w14:paraId="29805569" w14:textId="77777777" w:rsidTr="00E229FC">
        <w:tc>
          <w:tcPr>
            <w:tcW w:w="922" w:type="dxa"/>
            <w:tcBorders>
              <w:top w:val="single" w:sz="4" w:space="0" w:color="auto"/>
              <w:left w:val="single" w:sz="4" w:space="0" w:color="auto"/>
              <w:bottom w:val="single" w:sz="4" w:space="0" w:color="auto"/>
              <w:right w:val="single" w:sz="4" w:space="0" w:color="auto"/>
            </w:tcBorders>
            <w:hideMark/>
          </w:tcPr>
          <w:p w14:paraId="443D8EEF" w14:textId="77777777" w:rsidR="00262263" w:rsidRPr="00DA1417" w:rsidRDefault="00262263" w:rsidP="00262263">
            <w:pPr>
              <w:jc w:val="both"/>
              <w:rPr>
                <w:shd w:val="clear" w:color="auto" w:fill="FFFFFF"/>
                <w:lang w:val="en-US"/>
              </w:rPr>
            </w:pPr>
            <w:r w:rsidRPr="00DA1417">
              <w:rPr>
                <w:shd w:val="clear" w:color="auto" w:fill="FFFFFF"/>
                <w:lang w:val="en-US"/>
              </w:rPr>
              <w:t xml:space="preserve">100 </w:t>
            </w:r>
          </w:p>
        </w:tc>
        <w:tc>
          <w:tcPr>
            <w:tcW w:w="1054" w:type="dxa"/>
            <w:tcBorders>
              <w:top w:val="single" w:sz="4" w:space="0" w:color="auto"/>
              <w:left w:val="single" w:sz="4" w:space="0" w:color="auto"/>
              <w:bottom w:val="single" w:sz="4" w:space="0" w:color="auto"/>
              <w:right w:val="single" w:sz="4" w:space="0" w:color="auto"/>
            </w:tcBorders>
            <w:hideMark/>
          </w:tcPr>
          <w:p w14:paraId="08A14311" w14:textId="77777777" w:rsidR="00262263" w:rsidRPr="00DA1417" w:rsidRDefault="00262263" w:rsidP="00262263">
            <w:pPr>
              <w:jc w:val="both"/>
              <w:rPr>
                <w:shd w:val="clear" w:color="auto" w:fill="FFFFFF"/>
                <w:lang w:val="en-US"/>
              </w:rPr>
            </w:pPr>
            <w:r w:rsidRPr="00DA1417">
              <w:rPr>
                <w:shd w:val="clear" w:color="auto" w:fill="FFFFFF"/>
                <w:lang w:val="en-US"/>
              </w:rPr>
              <w:t>~ 20</w:t>
            </w:r>
          </w:p>
        </w:tc>
        <w:tc>
          <w:tcPr>
            <w:tcW w:w="4395" w:type="dxa"/>
            <w:tcBorders>
              <w:top w:val="single" w:sz="4" w:space="0" w:color="auto"/>
              <w:left w:val="single" w:sz="4" w:space="0" w:color="auto"/>
              <w:bottom w:val="single" w:sz="4" w:space="0" w:color="auto"/>
              <w:right w:val="single" w:sz="4" w:space="0" w:color="auto"/>
            </w:tcBorders>
            <w:hideMark/>
          </w:tcPr>
          <w:p w14:paraId="2D96874B" w14:textId="77777777" w:rsidR="00262263" w:rsidRPr="00DA1417" w:rsidRDefault="00262263" w:rsidP="00262263">
            <w:pPr>
              <w:jc w:val="both"/>
              <w:rPr>
                <w:shd w:val="clear" w:color="auto" w:fill="FFFFFF"/>
                <w:lang w:val="en-US"/>
              </w:rPr>
            </w:pPr>
            <w:r w:rsidRPr="00DA1417">
              <w:rPr>
                <w:shd w:val="clear" w:color="auto" w:fill="FFFFFF"/>
                <w:lang w:val="en-US"/>
              </w:rPr>
              <w:t xml:space="preserve">fixed embryos, antibody against the </w:t>
            </w:r>
            <w:proofErr w:type="spellStart"/>
            <w:r w:rsidRPr="00DA1417">
              <w:rPr>
                <w:shd w:val="clear" w:color="auto" w:fill="FFFFFF"/>
                <w:lang w:val="en-US"/>
              </w:rPr>
              <w:t>wt</w:t>
            </w:r>
            <w:proofErr w:type="spellEnd"/>
            <w:r w:rsidRPr="00DA1417">
              <w:rPr>
                <w:shd w:val="clear" w:color="auto" w:fill="FFFFFF"/>
                <w:lang w:val="en-US"/>
              </w:rPr>
              <w:t xml:space="preserve"> Bicoid protein</w:t>
            </w:r>
          </w:p>
        </w:tc>
        <w:tc>
          <w:tcPr>
            <w:tcW w:w="2691" w:type="dxa"/>
            <w:tcBorders>
              <w:top w:val="single" w:sz="4" w:space="0" w:color="auto"/>
              <w:left w:val="single" w:sz="4" w:space="0" w:color="auto"/>
              <w:bottom w:val="single" w:sz="4" w:space="0" w:color="auto"/>
              <w:right w:val="single" w:sz="4" w:space="0" w:color="auto"/>
            </w:tcBorders>
            <w:hideMark/>
          </w:tcPr>
          <w:p w14:paraId="02D110DB" w14:textId="1708199C" w:rsidR="00262263" w:rsidRPr="00DA1417" w:rsidRDefault="00BD7AC6" w:rsidP="00262263">
            <w:pPr>
              <w:jc w:val="both"/>
              <w:rPr>
                <w:shd w:val="clear" w:color="auto" w:fill="FFFFFF"/>
                <w:lang w:val="en-US"/>
              </w:rPr>
            </w:pPr>
            <w:r w:rsidRPr="00DA1417">
              <w:rPr>
                <w:shd w:val="clear" w:color="auto" w:fill="FFFFFF"/>
                <w:lang w:val="en-US"/>
              </w:rPr>
              <w:fldChar w:fldCharType="begin"/>
            </w:r>
            <w:r w:rsidRPr="00DA1417">
              <w:rPr>
                <w:shd w:val="clear" w:color="auto" w:fill="FFFFFF"/>
                <w:lang w:val="en-US"/>
              </w:rPr>
              <w:instrText xml:space="preserve"> ADDIN ZOTERO_ITEM CSL_CITATION {"citationID":"WkAdiD0M","properties":{"formattedCitation":"(Houchmandzadeh et al., 2002)","plainCitation":"(Houchmandzadeh et al., 2002)","noteIndex":0},"citationItems":[{"id":224,"uris":["http://zotero.org/users/8056494/items/THVR9W9K"],"uri":["http://zotero.org/users/8056494/items/THVR9W9K"],"itemData":{"id":224,"type":"article-journal","abstract":"During embryonic development, orderly patterns of gene expression eventually assign each cell in the embryo its particular fate. For the anteroposterior axis of the Drosophila embryo, the first step in this process depends on a spatial gradient of the maternal morphogen Bicoid (Bcd). Positional information of this gradient is transmitted to downstream gap genes, each occupying a well defined spatial domain. We determined the precision of the initial process by comparing expression domains in different embryos. Here we show that the Bcd gradient displays a high embryo-to-embryo variability, but that this noise in the positional information is strongly decreased ('filtered') at the level of hunchback (hb) gene expression. In contrast to the Bcd gradient, the hb expression pattern already includes the information about the scale of the embryo. We show that genes known to interact directly with Hb are not responsible for its spatial precision, but that the maternal gene staufen may be crucial.","container-title":"Nature","DOI":"10.1038/415798a","ISSN":"0028-0836","issue":"6873","note":"PMID: 11845210\nCitation Key: Houchmandzadeh2002\nISBN: 0028-0836","page":"798-802","title":"Establishment of developmental precision and proportions in the early Drosophila embryo","volume":"415","author":[{"family":"Houchmandzadeh","given":"Bahram"},{"family":"Wieschaus","given":"Eric"},{"family":"Leibler","given":"Stanislas"}],"issued":{"date-parts":[["2002"]]}}}],"schema":"https://github.com/citation-style-language/schema/raw/master/csl-citation.json"} </w:instrText>
            </w:r>
            <w:r w:rsidRPr="00DA1417">
              <w:rPr>
                <w:shd w:val="clear" w:color="auto" w:fill="FFFFFF"/>
                <w:lang w:val="en-US"/>
              </w:rPr>
              <w:fldChar w:fldCharType="separate"/>
            </w:r>
            <w:r w:rsidRPr="00DA1417">
              <w:rPr>
                <w:rFonts w:ascii="Calibri" w:hAnsi="Calibri" w:cs="Calibri"/>
              </w:rPr>
              <w:t>(Houchmandzadeh et al., 2002)</w:t>
            </w:r>
            <w:r w:rsidRPr="00DA1417">
              <w:rPr>
                <w:shd w:val="clear" w:color="auto" w:fill="FFFFFF"/>
                <w:lang w:val="en-US"/>
              </w:rPr>
              <w:fldChar w:fldCharType="end"/>
            </w:r>
          </w:p>
        </w:tc>
      </w:tr>
      <w:tr w:rsidR="00DA1417" w:rsidRPr="00DA1417" w14:paraId="7B3EC731" w14:textId="77777777" w:rsidTr="008175CE">
        <w:tc>
          <w:tcPr>
            <w:tcW w:w="922" w:type="dxa"/>
            <w:tcBorders>
              <w:top w:val="single" w:sz="4" w:space="0" w:color="auto"/>
              <w:left w:val="single" w:sz="4" w:space="0" w:color="auto"/>
              <w:bottom w:val="single" w:sz="4" w:space="0" w:color="auto"/>
              <w:right w:val="single" w:sz="4" w:space="0" w:color="auto"/>
            </w:tcBorders>
          </w:tcPr>
          <w:p w14:paraId="3B596B4C" w14:textId="02ADCE84" w:rsidR="00262263" w:rsidRPr="00DA1417" w:rsidRDefault="00262263" w:rsidP="00262263">
            <w:pPr>
              <w:jc w:val="both"/>
              <w:rPr>
                <w:shd w:val="clear" w:color="auto" w:fill="FFFFFF"/>
                <w:lang w:val="en-US"/>
              </w:rPr>
            </w:pPr>
            <w:r w:rsidRPr="00DA1417">
              <w:rPr>
                <w:shd w:val="clear" w:color="auto" w:fill="FFFFFF"/>
                <w:lang w:val="en-US"/>
              </w:rPr>
              <w:t>100</w:t>
            </w:r>
          </w:p>
        </w:tc>
        <w:tc>
          <w:tcPr>
            <w:tcW w:w="1054" w:type="dxa"/>
            <w:tcBorders>
              <w:top w:val="single" w:sz="4" w:space="0" w:color="auto"/>
              <w:left w:val="single" w:sz="4" w:space="0" w:color="auto"/>
              <w:bottom w:val="single" w:sz="4" w:space="0" w:color="auto"/>
              <w:right w:val="single" w:sz="4" w:space="0" w:color="auto"/>
            </w:tcBorders>
          </w:tcPr>
          <w:p w14:paraId="70761E65" w14:textId="60D842D1" w:rsidR="00262263" w:rsidRPr="00DA1417" w:rsidRDefault="00262263" w:rsidP="00262263">
            <w:pPr>
              <w:jc w:val="both"/>
              <w:rPr>
                <w:shd w:val="clear" w:color="auto" w:fill="FFFFFF"/>
                <w:lang w:val="en-US"/>
              </w:rPr>
            </w:pPr>
            <w:r w:rsidRPr="00DA1417">
              <w:rPr>
                <w:shd w:val="clear" w:color="auto" w:fill="FFFFFF"/>
                <w:lang w:val="en-US"/>
              </w:rPr>
              <w:t>~20</w:t>
            </w:r>
          </w:p>
        </w:tc>
        <w:tc>
          <w:tcPr>
            <w:tcW w:w="4395" w:type="dxa"/>
            <w:tcBorders>
              <w:top w:val="single" w:sz="4" w:space="0" w:color="auto"/>
              <w:left w:val="single" w:sz="4" w:space="0" w:color="auto"/>
              <w:bottom w:val="single" w:sz="4" w:space="0" w:color="auto"/>
              <w:right w:val="single" w:sz="4" w:space="0" w:color="auto"/>
            </w:tcBorders>
          </w:tcPr>
          <w:p w14:paraId="7E78F615" w14:textId="638833DA" w:rsidR="00262263" w:rsidRPr="00DA1417" w:rsidRDefault="008175CE" w:rsidP="00262263">
            <w:pPr>
              <w:jc w:val="both"/>
              <w:rPr>
                <w:shd w:val="clear" w:color="auto" w:fill="FFFFFF"/>
                <w:lang w:val="en-US"/>
              </w:rPr>
            </w:pPr>
            <w:r w:rsidRPr="00DA1417">
              <w:rPr>
                <w:shd w:val="clear" w:color="auto" w:fill="FFFFFF"/>
                <w:lang w:val="en-US"/>
              </w:rPr>
              <w:t xml:space="preserve">Live detection of </w:t>
            </w:r>
            <w:proofErr w:type="spellStart"/>
            <w:r w:rsidRPr="00DA1417">
              <w:rPr>
                <w:shd w:val="clear" w:color="auto" w:fill="FFFFFF"/>
                <w:lang w:val="en-US"/>
              </w:rPr>
              <w:t>Bcd-eGFP</w:t>
            </w:r>
            <w:proofErr w:type="spellEnd"/>
          </w:p>
        </w:tc>
        <w:tc>
          <w:tcPr>
            <w:tcW w:w="2691" w:type="dxa"/>
            <w:tcBorders>
              <w:top w:val="single" w:sz="4" w:space="0" w:color="auto"/>
              <w:left w:val="single" w:sz="4" w:space="0" w:color="auto"/>
              <w:bottom w:val="single" w:sz="4" w:space="0" w:color="auto"/>
              <w:right w:val="single" w:sz="4" w:space="0" w:color="auto"/>
            </w:tcBorders>
          </w:tcPr>
          <w:p w14:paraId="01858B54" w14:textId="7E0EA284" w:rsidR="00262263" w:rsidRPr="00DA1417" w:rsidRDefault="00BD7AC6" w:rsidP="00262263">
            <w:pPr>
              <w:jc w:val="both"/>
              <w:rPr>
                <w:shd w:val="clear" w:color="auto" w:fill="FFFFFF"/>
                <w:lang w:val="en-US"/>
              </w:rPr>
            </w:pPr>
            <w:r w:rsidRPr="00DA1417">
              <w:rPr>
                <w:shd w:val="clear" w:color="auto" w:fill="FFFFFF"/>
                <w:lang w:val="en-US"/>
              </w:rPr>
              <w:fldChar w:fldCharType="begin"/>
            </w:r>
            <w:r w:rsidRPr="00DA1417">
              <w:rPr>
                <w:shd w:val="clear" w:color="auto" w:fill="FFFFFF"/>
                <w:lang w:val="en-US"/>
              </w:rPr>
              <w:instrText xml:space="preserve"> ADDIN ZOTERO_ITEM CSL_CITATION {"citationID":"UlS19r24","properties":{"formattedCitation":"(Gregor et al., 2007b)","plainCitation":"(Gregor et al., 2007b)","noteIndex":0},"citationItems":[{"id":375,"uris":["http://zotero.org/users/8056494/items/S2AKA6BH"],"uri":["http://zotero.org/users/8056494/items/S2AKA6BH"],"itemData":{"id":375,"type":"article-journal","abstract":"Patterning in multicellular organisms results from spatial gradients in morphogen concentration, but the dynamics of these gradients remain largely unexplored. We characterize, through in vivo optical imaging, the development and stability of the Bicoid morphogen gradient in Drosophila embryos that express a Bicoid-eGFP fusion protein. The gradient is established rapidly (</w:instrText>
            </w:r>
            <w:r w:rsidRPr="00DA1417">
              <w:rPr>
                <w:rFonts w:ascii="Cambria Math" w:hAnsi="Cambria Math" w:cs="Cambria Math"/>
                <w:shd w:val="clear" w:color="auto" w:fill="FFFFFF"/>
                <w:lang w:val="en-US"/>
              </w:rPr>
              <w:instrText>∼</w:instrText>
            </w:r>
            <w:r w:rsidRPr="00DA1417">
              <w:rPr>
                <w:shd w:val="clear" w:color="auto" w:fill="FFFFFF"/>
                <w:lang w:val="en-US"/>
              </w:rPr>
              <w:instrText>1 hr after fertilization), with nuclear Bicoid concentration rising and falling during mitosis. Interphase levels result from a rapid equilibrium between Bicoid uptake and removal. Initial interphase concentration in nuclei in successive cycles is constant (±10%), demonstrating a form of gradient stability, but it subsequently decays by approximately 30 %. Both direct photobleaching measurements and indirect estimates of Bicoid-eGFP diffusion constants (D ≤ 1 μm2/s) provide a consistent picture of Bicoid transport on short (</w:instrText>
            </w:r>
            <w:r w:rsidRPr="00DA1417">
              <w:rPr>
                <w:rFonts w:ascii="Cambria Math" w:hAnsi="Cambria Math" w:cs="Cambria Math"/>
                <w:shd w:val="clear" w:color="auto" w:fill="FFFFFF"/>
                <w:lang w:val="en-US"/>
              </w:rPr>
              <w:instrText>∼</w:instrText>
            </w:r>
            <w:r w:rsidRPr="00DA1417">
              <w:rPr>
                <w:shd w:val="clear" w:color="auto" w:fill="FFFFFF"/>
                <w:lang w:val="en-US"/>
              </w:rPr>
              <w:instrText xml:space="preserve">min) time scales but challenge traditional models of long-range gradient formation. A new model is presented emphasizing the possible role of nuclear dynamics in shaping and scaling the gradient. © 2007 Elsevier Inc. All rights reserved.","container-title":"Cell","DOI":"10.1016/j.cell.2007.05.026","ISSN":"00928674","issue":"1","note":"PMID: 17632061\nCitation Key: Gregor2007\nISBN: 0092-8674 (Print)","page":"141-152","title":"Stability and nuclear dynamics of the Bicoid morphogen gradient","volume":"130","author":[{"family":"Gregor","given":"Thomas"},{"family":"Wieschaus","given":"Eric"},{"family":"McGregor","given":"Alistair P"},{"family":"Bialek","given":"William"},{"family":"Tank","given":"David W"}],"issued":{"date-parts":[["2007"]]}}}],"schema":"https://github.com/citation-style-language/schema/raw/master/csl-citation.json"} </w:instrText>
            </w:r>
            <w:r w:rsidRPr="00DA1417">
              <w:rPr>
                <w:shd w:val="clear" w:color="auto" w:fill="FFFFFF"/>
                <w:lang w:val="en-US"/>
              </w:rPr>
              <w:fldChar w:fldCharType="separate"/>
            </w:r>
            <w:r w:rsidRPr="00DA1417">
              <w:rPr>
                <w:rFonts w:ascii="Calibri" w:hAnsi="Calibri" w:cs="Calibri"/>
              </w:rPr>
              <w:t>(Gregor et al., 2007b)</w:t>
            </w:r>
            <w:r w:rsidRPr="00DA1417">
              <w:rPr>
                <w:shd w:val="clear" w:color="auto" w:fill="FFFFFF"/>
                <w:lang w:val="en-US"/>
              </w:rPr>
              <w:fldChar w:fldCharType="end"/>
            </w:r>
          </w:p>
        </w:tc>
      </w:tr>
      <w:tr w:rsidR="00DA1417" w:rsidRPr="00DA1417" w14:paraId="1EE00466" w14:textId="77777777" w:rsidTr="00E229FC">
        <w:tc>
          <w:tcPr>
            <w:tcW w:w="922" w:type="dxa"/>
            <w:tcBorders>
              <w:top w:val="single" w:sz="4" w:space="0" w:color="auto"/>
              <w:left w:val="single" w:sz="4" w:space="0" w:color="auto"/>
              <w:bottom w:val="single" w:sz="4" w:space="0" w:color="auto"/>
              <w:right w:val="single" w:sz="4" w:space="0" w:color="auto"/>
            </w:tcBorders>
          </w:tcPr>
          <w:p w14:paraId="11575098" w14:textId="7BE86349" w:rsidR="008175CE" w:rsidRPr="00DA1417" w:rsidRDefault="008175CE" w:rsidP="008175CE">
            <w:pPr>
              <w:jc w:val="both"/>
              <w:rPr>
                <w:shd w:val="clear" w:color="auto" w:fill="FFFFFF"/>
                <w:lang w:val="en-US"/>
              </w:rPr>
            </w:pPr>
            <w:r w:rsidRPr="00DA1417">
              <w:rPr>
                <w:shd w:val="clear" w:color="auto" w:fill="FFFFFF"/>
                <w:lang w:val="en-US"/>
              </w:rPr>
              <w:t>100</w:t>
            </w:r>
          </w:p>
        </w:tc>
        <w:tc>
          <w:tcPr>
            <w:tcW w:w="1054" w:type="dxa"/>
            <w:tcBorders>
              <w:top w:val="single" w:sz="4" w:space="0" w:color="auto"/>
              <w:left w:val="single" w:sz="4" w:space="0" w:color="auto"/>
              <w:bottom w:val="single" w:sz="4" w:space="0" w:color="auto"/>
              <w:right w:val="single" w:sz="4" w:space="0" w:color="auto"/>
            </w:tcBorders>
          </w:tcPr>
          <w:p w14:paraId="5DBBA392" w14:textId="1D35E4BA" w:rsidR="008175CE" w:rsidRPr="00DA1417" w:rsidRDefault="008175CE" w:rsidP="008175CE">
            <w:pPr>
              <w:jc w:val="both"/>
              <w:rPr>
                <w:shd w:val="clear" w:color="auto" w:fill="FFFFFF"/>
                <w:lang w:val="en-US"/>
              </w:rPr>
            </w:pPr>
            <w:r w:rsidRPr="00DA1417">
              <w:rPr>
                <w:shd w:val="clear" w:color="auto" w:fill="FFFFFF"/>
                <w:lang w:val="en-US"/>
              </w:rPr>
              <w:t>20</w:t>
            </w:r>
          </w:p>
        </w:tc>
        <w:tc>
          <w:tcPr>
            <w:tcW w:w="4395" w:type="dxa"/>
            <w:tcBorders>
              <w:top w:val="single" w:sz="4" w:space="0" w:color="auto"/>
              <w:left w:val="single" w:sz="4" w:space="0" w:color="auto"/>
              <w:bottom w:val="single" w:sz="4" w:space="0" w:color="auto"/>
              <w:right w:val="single" w:sz="4" w:space="0" w:color="auto"/>
            </w:tcBorders>
          </w:tcPr>
          <w:p w14:paraId="027EF567" w14:textId="37947B21" w:rsidR="008175CE" w:rsidRPr="00DA1417" w:rsidRDefault="008175CE" w:rsidP="008175CE">
            <w:pPr>
              <w:jc w:val="both"/>
              <w:rPr>
                <w:shd w:val="clear" w:color="auto" w:fill="FFFFFF"/>
                <w:lang w:val="en-US"/>
              </w:rPr>
            </w:pPr>
            <w:r w:rsidRPr="00DA1417">
              <w:rPr>
                <w:shd w:val="clear" w:color="auto" w:fill="FFFFFF"/>
                <w:lang w:val="en-US"/>
              </w:rPr>
              <w:t xml:space="preserve">Fixed embryos, antibodies against the </w:t>
            </w:r>
            <w:proofErr w:type="spellStart"/>
            <w:r w:rsidRPr="00DA1417">
              <w:rPr>
                <w:shd w:val="clear" w:color="auto" w:fill="FFFFFF"/>
                <w:lang w:val="en-US"/>
              </w:rPr>
              <w:t>wt</w:t>
            </w:r>
            <w:proofErr w:type="spellEnd"/>
            <w:r w:rsidRPr="00DA1417">
              <w:rPr>
                <w:shd w:val="clear" w:color="auto" w:fill="FFFFFF"/>
                <w:lang w:val="en-US"/>
              </w:rPr>
              <w:t xml:space="preserve"> Bicoid protein at nc13</w:t>
            </w:r>
          </w:p>
        </w:tc>
        <w:tc>
          <w:tcPr>
            <w:tcW w:w="2691" w:type="dxa"/>
            <w:tcBorders>
              <w:top w:val="single" w:sz="4" w:space="0" w:color="auto"/>
              <w:left w:val="single" w:sz="4" w:space="0" w:color="auto"/>
              <w:bottom w:val="single" w:sz="4" w:space="0" w:color="auto"/>
              <w:right w:val="single" w:sz="4" w:space="0" w:color="auto"/>
            </w:tcBorders>
          </w:tcPr>
          <w:p w14:paraId="5B993055" w14:textId="41F435F5" w:rsidR="008175CE" w:rsidRPr="00DA1417" w:rsidRDefault="00BD7AC6" w:rsidP="008175CE">
            <w:pPr>
              <w:jc w:val="both"/>
              <w:rPr>
                <w:shd w:val="clear" w:color="auto" w:fill="FFFFFF"/>
                <w:lang w:val="en-US"/>
              </w:rPr>
            </w:pPr>
            <w:r w:rsidRPr="00DA1417">
              <w:rPr>
                <w:shd w:val="clear" w:color="auto" w:fill="FFFFFF"/>
              </w:rPr>
              <w:fldChar w:fldCharType="begin"/>
            </w:r>
            <w:r w:rsidRPr="00DA1417">
              <w:rPr>
                <w:shd w:val="clear" w:color="auto" w:fill="FFFFFF"/>
              </w:rPr>
              <w:instrText xml:space="preserve"> ADDIN ZOTERO_ITEM CSL_CITATION {"citationID":"E6co3BHs","properties":{"formattedCitation":"(Xu et al., 2015)","plainCitation":"(Xu et al., 2015)","noteIndex":0},"citationItems":[{"id":343,"uris":["http://zotero.org/users/8056494/items/7KDLZ94J"],"uri":["http://zotero.org/users/8056494/items/7KDLZ94J"],"itemData":{"id":343,"type":"article-journal","abstract":"We combine immunofluorescence and single-molecule fluorescence in situ hybridization (smFISH), followed by automated image analysis, to quantify the concentration of nuclear transcription factors, number of transcription factors bound, and number of nascent mRNAs synthesized at individual gene loci. A theoretical model is used to decipher how transcription factor binding modulates the stochastic kinetics of mRNA production. We demonstrate this approach by examining the regulation of hunchback in the early Drosophila embryo.","container-title":"Nature methods","DOI":"10.1038/nmeth.3446","ISSN":"1548-7105","issue":"8","note":"PMID: 26098021\nCitation Key: Xu2015\nISBN: 1548-7091","page":"739-42","title":"Combining protein and mRNA quantification to decipher transcriptional regulation","volume":"12","author":[{"family":"Xu","given":"Heng"},{"family":"Sepúlveda","given":"Leonardo A"},{"family":"Figard","given":"Lauren"},{"family":"Sokac","given":"Anna Marie"},{"family":"Golding","given":"Ido"}],"issued":{"date-parts":[["2015"]]}}}],"schema":"https://github.com/citation-style-language/schema/raw/master/csl-citation.json"} </w:instrText>
            </w:r>
            <w:r w:rsidRPr="00DA1417">
              <w:rPr>
                <w:shd w:val="clear" w:color="auto" w:fill="FFFFFF"/>
              </w:rPr>
              <w:fldChar w:fldCharType="separate"/>
            </w:r>
            <w:r w:rsidRPr="00DA1417">
              <w:rPr>
                <w:rFonts w:ascii="Calibri" w:hAnsi="Calibri" w:cs="Calibri"/>
              </w:rPr>
              <w:t>(Xu et al., 2015)</w:t>
            </w:r>
            <w:r w:rsidRPr="00DA1417">
              <w:rPr>
                <w:shd w:val="clear" w:color="auto" w:fill="FFFFFF"/>
              </w:rPr>
              <w:fldChar w:fldCharType="end"/>
            </w:r>
          </w:p>
        </w:tc>
      </w:tr>
      <w:tr w:rsidR="00DA1417" w:rsidRPr="00DA1417" w14:paraId="5F0C899F" w14:textId="77777777" w:rsidTr="00E229FC">
        <w:tc>
          <w:tcPr>
            <w:tcW w:w="922" w:type="dxa"/>
            <w:tcBorders>
              <w:top w:val="single" w:sz="4" w:space="0" w:color="auto"/>
              <w:left w:val="single" w:sz="4" w:space="0" w:color="auto"/>
              <w:bottom w:val="single" w:sz="4" w:space="0" w:color="auto"/>
              <w:right w:val="single" w:sz="4" w:space="0" w:color="auto"/>
            </w:tcBorders>
          </w:tcPr>
          <w:p w14:paraId="326C8D0D" w14:textId="77777777" w:rsidR="008175CE" w:rsidRPr="00DA1417" w:rsidRDefault="008175CE" w:rsidP="008175CE">
            <w:pPr>
              <w:jc w:val="both"/>
              <w:rPr>
                <w:shd w:val="clear" w:color="auto" w:fill="FFFFFF"/>
                <w:lang w:val="en-US"/>
              </w:rPr>
            </w:pPr>
          </w:p>
        </w:tc>
        <w:tc>
          <w:tcPr>
            <w:tcW w:w="1054" w:type="dxa"/>
            <w:tcBorders>
              <w:top w:val="single" w:sz="4" w:space="0" w:color="auto"/>
              <w:left w:val="single" w:sz="4" w:space="0" w:color="auto"/>
              <w:bottom w:val="single" w:sz="4" w:space="0" w:color="auto"/>
              <w:right w:val="single" w:sz="4" w:space="0" w:color="auto"/>
            </w:tcBorders>
            <w:hideMark/>
          </w:tcPr>
          <w:p w14:paraId="096C0078" w14:textId="77777777" w:rsidR="008175CE" w:rsidRPr="00DA1417" w:rsidRDefault="008175CE" w:rsidP="008175CE">
            <w:pPr>
              <w:jc w:val="both"/>
              <w:rPr>
                <w:shd w:val="clear" w:color="auto" w:fill="FFFFFF"/>
                <w:lang w:val="en-US"/>
              </w:rPr>
            </w:pPr>
            <w:r w:rsidRPr="00DA1417">
              <w:rPr>
                <w:shd w:val="clear" w:color="auto" w:fill="FFFFFF"/>
                <w:lang w:val="en-US"/>
              </w:rPr>
              <w:t>19,3</w:t>
            </w:r>
          </w:p>
        </w:tc>
        <w:tc>
          <w:tcPr>
            <w:tcW w:w="4395" w:type="dxa"/>
            <w:tcBorders>
              <w:top w:val="single" w:sz="4" w:space="0" w:color="auto"/>
              <w:left w:val="single" w:sz="4" w:space="0" w:color="auto"/>
              <w:bottom w:val="single" w:sz="4" w:space="0" w:color="auto"/>
              <w:right w:val="single" w:sz="4" w:space="0" w:color="auto"/>
            </w:tcBorders>
            <w:hideMark/>
          </w:tcPr>
          <w:p w14:paraId="0F5ABFC8" w14:textId="77777777" w:rsidR="008175CE" w:rsidRPr="00DA1417" w:rsidRDefault="008175CE" w:rsidP="008175CE">
            <w:pPr>
              <w:jc w:val="both"/>
              <w:rPr>
                <w:shd w:val="clear" w:color="auto" w:fill="FFFFFF"/>
                <w:lang w:val="en-US"/>
              </w:rPr>
            </w:pPr>
            <w:r w:rsidRPr="00DA1417">
              <w:rPr>
                <w:shd w:val="clear" w:color="auto" w:fill="FFFFFF"/>
                <w:lang w:val="en-US"/>
              </w:rPr>
              <w:t xml:space="preserve">live detection of the </w:t>
            </w:r>
            <w:proofErr w:type="spellStart"/>
            <w:r w:rsidRPr="00DA1417">
              <w:rPr>
                <w:shd w:val="clear" w:color="auto" w:fill="FFFFFF"/>
                <w:lang w:val="en-US"/>
              </w:rPr>
              <w:t>Bcd-eGFP</w:t>
            </w:r>
            <w:proofErr w:type="spellEnd"/>
            <w:r w:rsidRPr="00DA1417">
              <w:rPr>
                <w:shd w:val="clear" w:color="auto" w:fill="FFFFFF"/>
                <w:lang w:val="en-US"/>
              </w:rPr>
              <w:t xml:space="preserve"> fusion</w:t>
            </w:r>
          </w:p>
        </w:tc>
        <w:tc>
          <w:tcPr>
            <w:tcW w:w="2691" w:type="dxa"/>
            <w:tcBorders>
              <w:top w:val="single" w:sz="4" w:space="0" w:color="auto"/>
              <w:left w:val="single" w:sz="4" w:space="0" w:color="auto"/>
              <w:bottom w:val="single" w:sz="4" w:space="0" w:color="auto"/>
              <w:right w:val="single" w:sz="4" w:space="0" w:color="auto"/>
            </w:tcBorders>
            <w:hideMark/>
          </w:tcPr>
          <w:p w14:paraId="277C1A60" w14:textId="53F099EF" w:rsidR="008175CE" w:rsidRPr="00DA1417" w:rsidRDefault="00BD7AC6" w:rsidP="008175CE">
            <w:pPr>
              <w:jc w:val="both"/>
              <w:rPr>
                <w:shd w:val="clear" w:color="auto" w:fill="FFFFFF"/>
                <w:lang w:val="en-US"/>
              </w:rPr>
            </w:pPr>
            <w:r w:rsidRPr="00DA1417">
              <w:rPr>
                <w:shd w:val="clear" w:color="auto" w:fill="FFFFFF"/>
                <w:lang w:val="en-US"/>
              </w:rPr>
              <w:fldChar w:fldCharType="begin"/>
            </w:r>
            <w:r w:rsidRPr="00DA1417">
              <w:rPr>
                <w:shd w:val="clear" w:color="auto" w:fill="FFFFFF"/>
                <w:lang w:val="en-US"/>
              </w:rPr>
              <w:instrText xml:space="preserve"> ADDIN ZOTERO_ITEM CSL_CITATION {"citationID":"tNPrrJKL","properties":{"formattedCitation":"(Liu et al., 2013)","plainCitation":"(Liu et al., 2013)","noteIndex":0},"citationItems":[{"id":782,"uris":["http://zotero.org/users/8056494/items/BDL85JGX"],"uri":["http://zotero.org/users/8056494/items/BDL85JGX"],"itemData":{"id":782,"type":"article-journal","abstract":"Patterning of body parts in multicellular organisms relies on the interpretation of transcription factor (TF) concentrations by genetic networks. To determine the extent by which absolute TF concentration dictates gene expression and morphogenesis programs that ultimately lead to patterns in Drosophila embryos, we manipulate maternally supplied patterning determinants and measure readout concentration at the position of various developmental markers. When we increase the overall amount of the maternal TF Bicoid (Bcd) fivefold, Bcd concentrations in cells at positions of the cephalic furrow, an early morphological marker, differ by a factor of 2. This finding apparently contradicts the traditional threshold-dependent readout model, which predicts that the Bcd concentrations at these positions should be identical. In contrast, Bcd concentration at target gene expression boundaries is nearly unchanged early in development but adjusts dynamically toward the same twofold change as development progresses. Thus, the Drosophila segmentation gene network responds faithfully to Bcd concentration during early development, in agreement with the threshold model, but subsequently partially adapts in response to altered Bcd dosage, driving segmentation patterns toward their WT positions. This dynamic response requires other maternal regulators, such as Torso and Nanos, suggesting that integration of maternal input information is not achieved through molecular interactions at the time of readout but through the subsequent collective interplay of the network.","container-title":"Proceedings of the National Academy of Sciences","DOI":"10.1073/pnas.1220912110","ISSN":"0027-8424","issue":"17","note":"PMID: 23580621\nCitation Key: Liu2013\nISBN: 1215421109","page":"6724-6729","title":"Dynamic interpretation of maternal inputs by the Drosophila segmentation gene network","volume":"110","author":[{"family":"Liu","given":"F."},{"family":"Morrison","given":"A. H."},{"family":"Gregor","given":"T."}],"issued":{"date-parts":[["2013"]]}}}],"schema":"https://github.com/citation-style-language/schema/raw/master/csl-citation.json"} </w:instrText>
            </w:r>
            <w:r w:rsidRPr="00DA1417">
              <w:rPr>
                <w:shd w:val="clear" w:color="auto" w:fill="FFFFFF"/>
                <w:lang w:val="en-US"/>
              </w:rPr>
              <w:fldChar w:fldCharType="separate"/>
            </w:r>
            <w:r w:rsidRPr="00DA1417">
              <w:rPr>
                <w:rFonts w:ascii="Calibri" w:hAnsi="Calibri" w:cs="Calibri"/>
              </w:rPr>
              <w:t>(Liu et al., 2013)</w:t>
            </w:r>
            <w:r w:rsidRPr="00DA1417">
              <w:rPr>
                <w:shd w:val="clear" w:color="auto" w:fill="FFFFFF"/>
                <w:lang w:val="en-US"/>
              </w:rPr>
              <w:fldChar w:fldCharType="end"/>
            </w:r>
            <w:r w:rsidRPr="00DA1417">
              <w:rPr>
                <w:shd w:val="clear" w:color="auto" w:fill="FFFFFF"/>
                <w:lang w:val="en-US"/>
              </w:rPr>
              <w:t xml:space="preserve"> (Fig. S4)</w:t>
            </w:r>
          </w:p>
        </w:tc>
      </w:tr>
      <w:tr w:rsidR="00DA1417" w:rsidRPr="00DA1417" w14:paraId="429B8D84" w14:textId="77777777" w:rsidTr="00E229FC">
        <w:tc>
          <w:tcPr>
            <w:tcW w:w="922" w:type="dxa"/>
            <w:tcBorders>
              <w:top w:val="single" w:sz="4" w:space="0" w:color="auto"/>
              <w:left w:val="single" w:sz="4" w:space="0" w:color="auto"/>
              <w:bottom w:val="single" w:sz="4" w:space="0" w:color="auto"/>
              <w:right w:val="single" w:sz="4" w:space="0" w:color="auto"/>
            </w:tcBorders>
          </w:tcPr>
          <w:p w14:paraId="7F08942A" w14:textId="77777777" w:rsidR="008175CE" w:rsidRPr="00DA1417" w:rsidRDefault="008175CE" w:rsidP="008175CE">
            <w:pPr>
              <w:jc w:val="both"/>
              <w:rPr>
                <w:shd w:val="clear" w:color="auto" w:fill="FFFFFF"/>
                <w:lang w:val="en-US"/>
              </w:rPr>
            </w:pPr>
          </w:p>
        </w:tc>
        <w:tc>
          <w:tcPr>
            <w:tcW w:w="1054" w:type="dxa"/>
            <w:tcBorders>
              <w:top w:val="single" w:sz="4" w:space="0" w:color="auto"/>
              <w:left w:val="single" w:sz="4" w:space="0" w:color="auto"/>
              <w:bottom w:val="single" w:sz="4" w:space="0" w:color="auto"/>
              <w:right w:val="single" w:sz="4" w:space="0" w:color="auto"/>
            </w:tcBorders>
            <w:hideMark/>
          </w:tcPr>
          <w:p w14:paraId="072915AF" w14:textId="77777777" w:rsidR="008175CE" w:rsidRPr="00DA1417" w:rsidRDefault="008175CE" w:rsidP="008175CE">
            <w:pPr>
              <w:jc w:val="both"/>
              <w:rPr>
                <w:shd w:val="clear" w:color="auto" w:fill="FFFFFF"/>
                <w:lang w:val="en-US"/>
              </w:rPr>
            </w:pPr>
            <w:r w:rsidRPr="00DA1417">
              <w:rPr>
                <w:shd w:val="clear" w:color="auto" w:fill="FFFFFF"/>
                <w:lang w:val="en-US"/>
              </w:rPr>
              <w:t>18,2</w:t>
            </w:r>
          </w:p>
        </w:tc>
        <w:tc>
          <w:tcPr>
            <w:tcW w:w="4395" w:type="dxa"/>
            <w:tcBorders>
              <w:top w:val="single" w:sz="4" w:space="0" w:color="auto"/>
              <w:left w:val="single" w:sz="4" w:space="0" w:color="auto"/>
              <w:bottom w:val="single" w:sz="4" w:space="0" w:color="auto"/>
              <w:right w:val="single" w:sz="4" w:space="0" w:color="auto"/>
            </w:tcBorders>
            <w:hideMark/>
          </w:tcPr>
          <w:p w14:paraId="4E3188F4" w14:textId="77777777" w:rsidR="008175CE" w:rsidRPr="00DA1417" w:rsidRDefault="008175CE" w:rsidP="008175CE">
            <w:pPr>
              <w:jc w:val="both"/>
              <w:rPr>
                <w:shd w:val="clear" w:color="auto" w:fill="FFFFFF"/>
                <w:lang w:val="en-US"/>
              </w:rPr>
            </w:pPr>
            <w:r w:rsidRPr="00DA1417">
              <w:rPr>
                <w:shd w:val="clear" w:color="auto" w:fill="FFFFFF"/>
                <w:lang w:val="en-US"/>
              </w:rPr>
              <w:t xml:space="preserve">live detection of the </w:t>
            </w:r>
            <w:proofErr w:type="spellStart"/>
            <w:r w:rsidRPr="00DA1417">
              <w:rPr>
                <w:shd w:val="clear" w:color="auto" w:fill="FFFFFF"/>
                <w:lang w:val="en-US"/>
              </w:rPr>
              <w:t>Bcd</w:t>
            </w:r>
            <w:proofErr w:type="spellEnd"/>
            <w:r w:rsidRPr="00DA1417">
              <w:rPr>
                <w:shd w:val="clear" w:color="auto" w:fill="FFFFFF"/>
                <w:lang w:val="en-US"/>
              </w:rPr>
              <w:t>-Venus fusion</w:t>
            </w:r>
          </w:p>
        </w:tc>
        <w:tc>
          <w:tcPr>
            <w:tcW w:w="2691" w:type="dxa"/>
            <w:tcBorders>
              <w:top w:val="single" w:sz="4" w:space="0" w:color="auto"/>
              <w:left w:val="single" w:sz="4" w:space="0" w:color="auto"/>
              <w:bottom w:val="single" w:sz="4" w:space="0" w:color="auto"/>
              <w:right w:val="single" w:sz="4" w:space="0" w:color="auto"/>
            </w:tcBorders>
            <w:hideMark/>
          </w:tcPr>
          <w:p w14:paraId="5D5FE330" w14:textId="1408C6AC" w:rsidR="008175CE" w:rsidRPr="00DA1417" w:rsidRDefault="00BD7AC6" w:rsidP="008175CE">
            <w:pPr>
              <w:jc w:val="both"/>
              <w:rPr>
                <w:shd w:val="clear" w:color="auto" w:fill="FFFFFF"/>
                <w:lang w:val="en-US"/>
              </w:rPr>
            </w:pPr>
            <w:r w:rsidRPr="00DA1417">
              <w:rPr>
                <w:shd w:val="clear" w:color="auto" w:fill="FFFFFF"/>
                <w:lang w:val="en-US"/>
              </w:rPr>
              <w:fldChar w:fldCharType="begin"/>
            </w:r>
            <w:r w:rsidRPr="00DA1417">
              <w:rPr>
                <w:shd w:val="clear" w:color="auto" w:fill="FFFFFF"/>
                <w:lang w:val="en-US"/>
              </w:rPr>
              <w:instrText xml:space="preserve"> ADDIN ZOTERO_ITEM CSL_CITATION {"citationID":"KeHDWuI0","properties":{"formattedCitation":"(Liu et al., 2013)","plainCitation":"(Liu et al., 2013)","noteIndex":0},"citationItems":[{"id":782,"uris":["http://zotero.org/users/8056494/items/BDL85JGX"],"uri":["http://zotero.org/users/8056494/items/BDL85JGX"],"itemData":{"id":782,"type":"article-journal","abstract":"Patterning of body parts in multicellular organisms relies on the interpretation of transcription factor (TF) concentrations by genetic networks. To determine the extent by which absolute TF concentration dictates gene expression and morphogenesis programs that ultimately lead to patterns in Drosophila embryos, we manipulate maternally supplied patterning determinants and measure readout concentration at the position of various developmental markers. When we increase the overall amount of the maternal TF Bicoid (Bcd) fivefold, Bcd concentrations in cells at positions of the cephalic furrow, an early morphological marker, differ by a factor of 2. This finding apparently contradicts the traditional threshold-dependent readout model, which predicts that the Bcd concentrations at these positions should be identical. In contrast, Bcd concentration at target gene expression boundaries is nearly unchanged early in development but adjusts dynamically toward the same twofold change as development progresses. Thus, the Drosophila segmentation gene network responds faithfully to Bcd concentration during early development, in agreement with the threshold model, but subsequently partially adapts in response to altered Bcd dosage, driving segmentation patterns toward their WT positions. This dynamic response requires other maternal regulators, such as Torso and Nanos, suggesting that integration of maternal input information is not achieved through molecular interactions at the time of readout but through the subsequent collective interplay of the network.","container-title":"Proceedings of the National Academy of Sciences","DOI":"10.1073/pnas.1220912110","ISSN":"0027-8424","issue":"17","note":"PMID: 23580621\nCitation Key: Liu2013\nISBN: 1215421109","page":"6724-6729","title":"Dynamic interpretation of maternal inputs by the Drosophila segmentation gene network","volume":"110","author":[{"family":"Liu","given":"F."},{"family":"Morrison","given":"A. H."},{"family":"Gregor","given":"T."}],"issued":{"date-parts":[["2013"]]}}}],"schema":"https://github.com/citation-style-language/schema/raw/master/csl-citation.json"} </w:instrText>
            </w:r>
            <w:r w:rsidRPr="00DA1417">
              <w:rPr>
                <w:shd w:val="clear" w:color="auto" w:fill="FFFFFF"/>
                <w:lang w:val="en-US"/>
              </w:rPr>
              <w:fldChar w:fldCharType="separate"/>
            </w:r>
            <w:r w:rsidRPr="00DA1417">
              <w:rPr>
                <w:rFonts w:ascii="Calibri" w:hAnsi="Calibri" w:cs="Calibri"/>
              </w:rPr>
              <w:t>(Liu et al., 2013)</w:t>
            </w:r>
            <w:r w:rsidRPr="00DA1417">
              <w:rPr>
                <w:shd w:val="clear" w:color="auto" w:fill="FFFFFF"/>
                <w:lang w:val="en-US"/>
              </w:rPr>
              <w:fldChar w:fldCharType="end"/>
            </w:r>
            <w:r w:rsidRPr="00DA1417">
              <w:rPr>
                <w:shd w:val="clear" w:color="auto" w:fill="FFFFFF"/>
                <w:lang w:val="en-US"/>
              </w:rPr>
              <w:t xml:space="preserve"> (Fig. S4)</w:t>
            </w:r>
          </w:p>
        </w:tc>
      </w:tr>
      <w:tr w:rsidR="00DA1417" w:rsidRPr="00DA1417" w14:paraId="3A2CE8B4" w14:textId="77777777" w:rsidTr="00E229FC">
        <w:tc>
          <w:tcPr>
            <w:tcW w:w="922" w:type="dxa"/>
            <w:tcBorders>
              <w:top w:val="single" w:sz="4" w:space="0" w:color="auto"/>
              <w:left w:val="single" w:sz="4" w:space="0" w:color="auto"/>
              <w:bottom w:val="single" w:sz="4" w:space="0" w:color="auto"/>
              <w:right w:val="single" w:sz="4" w:space="0" w:color="auto"/>
            </w:tcBorders>
          </w:tcPr>
          <w:p w14:paraId="6490DC10" w14:textId="77777777" w:rsidR="008175CE" w:rsidRPr="00DA1417" w:rsidRDefault="008175CE" w:rsidP="008175CE">
            <w:pPr>
              <w:jc w:val="both"/>
              <w:rPr>
                <w:shd w:val="clear" w:color="auto" w:fill="FFFFFF"/>
                <w:lang w:val="en-US"/>
              </w:rPr>
            </w:pPr>
          </w:p>
        </w:tc>
        <w:tc>
          <w:tcPr>
            <w:tcW w:w="1054" w:type="dxa"/>
            <w:tcBorders>
              <w:top w:val="single" w:sz="4" w:space="0" w:color="auto"/>
              <w:left w:val="single" w:sz="4" w:space="0" w:color="auto"/>
              <w:bottom w:val="single" w:sz="4" w:space="0" w:color="auto"/>
              <w:right w:val="single" w:sz="4" w:space="0" w:color="auto"/>
            </w:tcBorders>
            <w:hideMark/>
          </w:tcPr>
          <w:p w14:paraId="24574D39" w14:textId="77777777" w:rsidR="008175CE" w:rsidRPr="00DA1417" w:rsidRDefault="008175CE" w:rsidP="008175CE">
            <w:pPr>
              <w:jc w:val="both"/>
              <w:rPr>
                <w:shd w:val="clear" w:color="auto" w:fill="FFFFFF"/>
                <w:lang w:val="en-US"/>
              </w:rPr>
            </w:pPr>
            <w:r w:rsidRPr="00DA1417">
              <w:rPr>
                <w:shd w:val="clear" w:color="auto" w:fill="FFFFFF"/>
                <w:lang w:val="en-US"/>
              </w:rPr>
              <w:t>16.4</w:t>
            </w:r>
          </w:p>
        </w:tc>
        <w:tc>
          <w:tcPr>
            <w:tcW w:w="4395" w:type="dxa"/>
            <w:tcBorders>
              <w:top w:val="single" w:sz="4" w:space="0" w:color="auto"/>
              <w:left w:val="single" w:sz="4" w:space="0" w:color="auto"/>
              <w:bottom w:val="single" w:sz="4" w:space="0" w:color="auto"/>
              <w:right w:val="single" w:sz="4" w:space="0" w:color="auto"/>
            </w:tcBorders>
            <w:hideMark/>
          </w:tcPr>
          <w:p w14:paraId="443A3D67" w14:textId="77777777" w:rsidR="008175CE" w:rsidRPr="00DA1417" w:rsidRDefault="008175CE" w:rsidP="008175CE">
            <w:pPr>
              <w:jc w:val="both"/>
              <w:rPr>
                <w:shd w:val="clear" w:color="auto" w:fill="FFFFFF"/>
                <w:lang w:val="en-US"/>
              </w:rPr>
            </w:pPr>
            <w:r w:rsidRPr="00DA1417">
              <w:rPr>
                <w:shd w:val="clear" w:color="auto" w:fill="FFFFFF"/>
                <w:lang w:val="en-US"/>
              </w:rPr>
              <w:t xml:space="preserve">fixed embryos, </w:t>
            </w:r>
            <w:proofErr w:type="spellStart"/>
            <w:r w:rsidRPr="00DA1417">
              <w:rPr>
                <w:shd w:val="clear" w:color="auto" w:fill="FFFFFF"/>
                <w:lang w:val="en-US"/>
              </w:rPr>
              <w:t>Bcd</w:t>
            </w:r>
            <w:proofErr w:type="spellEnd"/>
            <w:r w:rsidRPr="00DA1417">
              <w:rPr>
                <w:shd w:val="clear" w:color="auto" w:fill="FFFFFF"/>
                <w:lang w:val="en-US"/>
              </w:rPr>
              <w:t xml:space="preserve"> antibody against </w:t>
            </w:r>
            <w:proofErr w:type="spellStart"/>
            <w:r w:rsidRPr="00DA1417">
              <w:rPr>
                <w:shd w:val="clear" w:color="auto" w:fill="FFFFFF"/>
                <w:lang w:val="en-US"/>
              </w:rPr>
              <w:t>Bcd-eGFP</w:t>
            </w:r>
            <w:proofErr w:type="spellEnd"/>
            <w:r w:rsidRPr="00DA1417">
              <w:rPr>
                <w:shd w:val="clear" w:color="auto" w:fill="FFFFFF"/>
                <w:lang w:val="en-US"/>
              </w:rPr>
              <w:t xml:space="preserve"> </w:t>
            </w:r>
          </w:p>
        </w:tc>
        <w:tc>
          <w:tcPr>
            <w:tcW w:w="2691" w:type="dxa"/>
            <w:tcBorders>
              <w:top w:val="single" w:sz="4" w:space="0" w:color="auto"/>
              <w:left w:val="single" w:sz="4" w:space="0" w:color="auto"/>
              <w:bottom w:val="single" w:sz="4" w:space="0" w:color="auto"/>
              <w:right w:val="single" w:sz="4" w:space="0" w:color="auto"/>
            </w:tcBorders>
            <w:hideMark/>
          </w:tcPr>
          <w:p w14:paraId="09526D04" w14:textId="20D39045" w:rsidR="008175CE" w:rsidRPr="00DA1417" w:rsidRDefault="00BD7AC6" w:rsidP="008175CE">
            <w:pPr>
              <w:jc w:val="both"/>
              <w:rPr>
                <w:shd w:val="clear" w:color="auto" w:fill="FFFFFF"/>
                <w:lang w:val="en-US"/>
              </w:rPr>
            </w:pPr>
            <w:r w:rsidRPr="00DA1417">
              <w:rPr>
                <w:shd w:val="clear" w:color="auto" w:fill="FFFFFF"/>
                <w:lang w:val="en-US"/>
              </w:rPr>
              <w:fldChar w:fldCharType="begin"/>
            </w:r>
            <w:r w:rsidRPr="00DA1417">
              <w:rPr>
                <w:shd w:val="clear" w:color="auto" w:fill="FFFFFF"/>
                <w:lang w:val="en-US"/>
              </w:rPr>
              <w:instrText xml:space="preserve"> ADDIN ZOTERO_ITEM CSL_CITATION {"citationID":"HMH8ThQO","properties":{"formattedCitation":"(Liu et al., 2013)","plainCitation":"(Liu et al., 2013)","noteIndex":0},"citationItems":[{"id":782,"uris":["http://zotero.org/users/8056494/items/BDL85JGX"],"uri":["http://zotero.org/users/8056494/items/BDL85JGX"],"itemData":{"id":782,"type":"article-journal","abstract":"Patterning of body parts in multicellular organisms relies on the interpretation of transcription factor (TF) concentrations by genetic networks. To determine the extent by which absolute TF concentration dictates gene expression and morphogenesis programs that ultimately lead to patterns in Drosophila embryos, we manipulate maternally supplied patterning determinants and measure readout concentration at the position of various developmental markers. When we increase the overall amount of the maternal TF Bicoid (Bcd) fivefold, Bcd concentrations in cells at positions of the cephalic furrow, an early morphological marker, differ by a factor of 2. This finding apparently contradicts the traditional threshold-dependent readout model, which predicts that the Bcd concentrations at these positions should be identical. In contrast, Bcd concentration at target gene expression boundaries is nearly unchanged early in development but adjusts dynamically toward the same twofold change as development progresses. Thus, the Drosophila segmentation gene network responds faithfully to Bcd concentration during early development, in agreement with the threshold model, but subsequently partially adapts in response to altered Bcd dosage, driving segmentation patterns toward their WT positions. This dynamic response requires other maternal regulators, such as Torso and Nanos, suggesting that integration of maternal input information is not achieved through molecular interactions at the time of readout but through the subsequent collective interplay of the network.","container-title":"Proceedings of the National Academy of Sciences","DOI":"10.1073/pnas.1220912110","ISSN":"0027-8424","issue":"17","note":"PMID: 23580621\nCitation Key: Liu2013\nISBN: 1215421109","page":"6724-6729","title":"Dynamic interpretation of maternal inputs by the Drosophila segmentation gene network","volume":"110","author":[{"family":"Liu","given":"F."},{"family":"Morrison","given":"A. H."},{"family":"Gregor","given":"T."}],"issued":{"date-parts":[["2013"]]}}}],"schema":"https://github.com/citation-style-language/schema/raw/master/csl-citation.json"} </w:instrText>
            </w:r>
            <w:r w:rsidRPr="00DA1417">
              <w:rPr>
                <w:shd w:val="clear" w:color="auto" w:fill="FFFFFF"/>
                <w:lang w:val="en-US"/>
              </w:rPr>
              <w:fldChar w:fldCharType="separate"/>
            </w:r>
            <w:r w:rsidRPr="00DA1417">
              <w:rPr>
                <w:rFonts w:ascii="Calibri" w:hAnsi="Calibri" w:cs="Calibri"/>
              </w:rPr>
              <w:t>(Liu et al., 2013)</w:t>
            </w:r>
            <w:r w:rsidRPr="00DA1417">
              <w:rPr>
                <w:shd w:val="clear" w:color="auto" w:fill="FFFFFF"/>
                <w:lang w:val="en-US"/>
              </w:rPr>
              <w:fldChar w:fldCharType="end"/>
            </w:r>
            <w:r w:rsidRPr="00DA1417">
              <w:rPr>
                <w:shd w:val="clear" w:color="auto" w:fill="FFFFFF"/>
                <w:lang w:val="en-US"/>
              </w:rPr>
              <w:t xml:space="preserve"> (Fig. S4)</w:t>
            </w:r>
          </w:p>
        </w:tc>
      </w:tr>
      <w:tr w:rsidR="00DA1417" w:rsidRPr="00DA1417" w14:paraId="5E5345E1" w14:textId="77777777" w:rsidTr="00E229FC">
        <w:tc>
          <w:tcPr>
            <w:tcW w:w="922" w:type="dxa"/>
            <w:tcBorders>
              <w:top w:val="single" w:sz="4" w:space="0" w:color="auto"/>
              <w:left w:val="single" w:sz="4" w:space="0" w:color="auto"/>
              <w:bottom w:val="single" w:sz="4" w:space="0" w:color="auto"/>
              <w:right w:val="single" w:sz="4" w:space="0" w:color="auto"/>
            </w:tcBorders>
          </w:tcPr>
          <w:p w14:paraId="67E80858" w14:textId="77777777" w:rsidR="008175CE" w:rsidRPr="00DA1417" w:rsidRDefault="008175CE" w:rsidP="008175CE">
            <w:pPr>
              <w:jc w:val="both"/>
              <w:rPr>
                <w:shd w:val="clear" w:color="auto" w:fill="FFFFFF"/>
                <w:lang w:val="en-US"/>
              </w:rPr>
            </w:pPr>
            <w:r w:rsidRPr="00DA1417">
              <w:rPr>
                <w:shd w:val="clear" w:color="auto" w:fill="FFFFFF"/>
                <w:lang w:val="en-US"/>
              </w:rPr>
              <w:t>89</w:t>
            </w:r>
          </w:p>
        </w:tc>
        <w:tc>
          <w:tcPr>
            <w:tcW w:w="1054" w:type="dxa"/>
            <w:tcBorders>
              <w:top w:val="single" w:sz="4" w:space="0" w:color="auto"/>
              <w:left w:val="single" w:sz="4" w:space="0" w:color="auto"/>
              <w:bottom w:val="single" w:sz="4" w:space="0" w:color="auto"/>
              <w:right w:val="single" w:sz="4" w:space="0" w:color="auto"/>
            </w:tcBorders>
          </w:tcPr>
          <w:p w14:paraId="4B9518B2" w14:textId="77777777" w:rsidR="008175CE" w:rsidRPr="00DA1417" w:rsidRDefault="008175CE" w:rsidP="008175CE">
            <w:pPr>
              <w:jc w:val="both"/>
              <w:rPr>
                <w:shd w:val="clear" w:color="auto" w:fill="FFFFFF"/>
                <w:lang w:val="en-US"/>
              </w:rPr>
            </w:pPr>
            <w:r w:rsidRPr="00DA1417">
              <w:rPr>
                <w:shd w:val="clear" w:color="auto" w:fill="FFFFFF"/>
                <w:lang w:val="en-US"/>
              </w:rPr>
              <w:t>~ 17.8</w:t>
            </w:r>
          </w:p>
        </w:tc>
        <w:tc>
          <w:tcPr>
            <w:tcW w:w="4395" w:type="dxa"/>
            <w:tcBorders>
              <w:top w:val="single" w:sz="4" w:space="0" w:color="auto"/>
              <w:left w:val="single" w:sz="4" w:space="0" w:color="auto"/>
              <w:bottom w:val="single" w:sz="4" w:space="0" w:color="auto"/>
              <w:right w:val="single" w:sz="4" w:space="0" w:color="auto"/>
            </w:tcBorders>
          </w:tcPr>
          <w:p w14:paraId="31E140C1" w14:textId="77777777" w:rsidR="008175CE" w:rsidRPr="00DA1417" w:rsidRDefault="008175CE" w:rsidP="008175CE">
            <w:pPr>
              <w:jc w:val="both"/>
              <w:rPr>
                <w:shd w:val="clear" w:color="auto" w:fill="FFFFFF"/>
                <w:lang w:val="en-US"/>
              </w:rPr>
            </w:pPr>
            <w:r w:rsidRPr="00DA1417">
              <w:rPr>
                <w:shd w:val="clear" w:color="auto" w:fill="FFFFFF"/>
                <w:lang w:val="en-US"/>
              </w:rPr>
              <w:t xml:space="preserve">Live detection of tandem-fluorescent protein timer fused to </w:t>
            </w:r>
            <w:proofErr w:type="spellStart"/>
            <w:r w:rsidRPr="00DA1417">
              <w:rPr>
                <w:shd w:val="clear" w:color="auto" w:fill="FFFFFF"/>
                <w:lang w:val="en-US"/>
              </w:rPr>
              <w:t>Bcd</w:t>
            </w:r>
            <w:proofErr w:type="spellEnd"/>
          </w:p>
        </w:tc>
        <w:tc>
          <w:tcPr>
            <w:tcW w:w="2691" w:type="dxa"/>
            <w:tcBorders>
              <w:top w:val="single" w:sz="4" w:space="0" w:color="auto"/>
              <w:left w:val="single" w:sz="4" w:space="0" w:color="auto"/>
              <w:bottom w:val="single" w:sz="4" w:space="0" w:color="auto"/>
              <w:right w:val="single" w:sz="4" w:space="0" w:color="auto"/>
            </w:tcBorders>
          </w:tcPr>
          <w:p w14:paraId="297DE8A8" w14:textId="2D26311B" w:rsidR="008175CE" w:rsidRPr="00DA1417" w:rsidRDefault="00BD7AC6" w:rsidP="008175CE">
            <w:pPr>
              <w:jc w:val="both"/>
              <w:rPr>
                <w:shd w:val="clear" w:color="auto" w:fill="FFFFFF"/>
                <w:lang w:val="en-US"/>
              </w:rPr>
            </w:pPr>
            <w:r w:rsidRPr="00DA1417">
              <w:rPr>
                <w:shd w:val="clear" w:color="auto" w:fill="FFFFFF"/>
                <w:lang w:val="en-US"/>
              </w:rPr>
              <w:fldChar w:fldCharType="begin"/>
            </w:r>
            <w:r w:rsidRPr="00DA1417">
              <w:rPr>
                <w:shd w:val="clear" w:color="auto" w:fill="FFFFFF"/>
                <w:lang w:val="en-US"/>
              </w:rPr>
              <w:instrText xml:space="preserve"> ADDIN ZOTERO_ITEM CSL_CITATION {"citationID":"558bovGO","properties":{"formattedCitation":"(Durrieu et al., 2018)","plainCitation":"(Durrieu et al., 2018)","noteIndex":0},"citationItems":[{"id":57,"uris":["http://zotero.org/users/8056494/items/IXU47MT2"],"uri":["http://zotero.org/users/8056494/items/IXU47MT2"],"itemData":{"id":57,"type":"article-journal","abstract":"Embryogenesis relies on instructions provided by spatially organized signaling molecules known as morphogens. Understanding the principles behind morphogen distribution and how cells interpret locally this information remains a major challenge in developmental biology. Here, we introduce morphogen-age measurements as a novel approach to test models of morphogen gradient formation. Using a tandem fluorescent timer as a protein age sensor, we find a gradient of increasing age of Bicoid along the anterior-posterior axis in the early Drosophila embryo. Quantitative analysis of the protein age distribution across the embryo reveals that the synthesis-diffusion-degradation model is the most likely model underlying Bicoid gradient formation, and rules out other hypotheses for gradient formation. Moreover, we show that the timer can detect transitions in the dynamics associated with syncytial cellularization. Our results provide new insight into Bicoid gradient formation and demonstrate how morphogen-age information can complement knowledge about movement, abundance, and distribution, which should be widely applicable to other systems.","container-title":"Molecular Systems Biology","DOI":"10.15252/msb.20188355","issue":"9","note":"Citation Key: Durrieu2018","page":"e8355","title":"Bicoid gradient formation mechanism and dynamics revealed by protein lifetime analysis","volume":"14","author":[{"family":"Durrieu","given":"Lucia"},{"family":"Kirrmaier","given":"Daniel"},{"family":"Schneidt","given":"Tatjana"},{"family":"Kats","given":"Ilia"},{"family":"Raghavan","given":"Sarada"},{"family":"Hufnagel","given":"Lars"},{"family":"Saunders","given":"Timothy E"},{"family":"Knop","given":"Michael"}],"issued":{"date-parts":[["2018"]]}}}],"schema":"https://github.com/citation-style-language/schema/raw/master/csl-citation.json"} </w:instrText>
            </w:r>
            <w:r w:rsidRPr="00DA1417">
              <w:rPr>
                <w:shd w:val="clear" w:color="auto" w:fill="FFFFFF"/>
                <w:lang w:val="en-US"/>
              </w:rPr>
              <w:fldChar w:fldCharType="separate"/>
            </w:r>
            <w:r w:rsidRPr="00DA1417">
              <w:rPr>
                <w:rFonts w:ascii="Calibri" w:hAnsi="Calibri" w:cs="Calibri"/>
              </w:rPr>
              <w:t>(Durrieu et al., 2018)</w:t>
            </w:r>
            <w:r w:rsidRPr="00DA1417">
              <w:rPr>
                <w:shd w:val="clear" w:color="auto" w:fill="FFFFFF"/>
                <w:lang w:val="en-US"/>
              </w:rPr>
              <w:fldChar w:fldCharType="end"/>
            </w:r>
            <w:r w:rsidRPr="00DA1417">
              <w:rPr>
                <w:shd w:val="clear" w:color="auto" w:fill="FFFFFF"/>
                <w:lang w:val="en-US"/>
              </w:rPr>
              <w:t xml:space="preserve"> (p7)</w:t>
            </w:r>
          </w:p>
        </w:tc>
      </w:tr>
    </w:tbl>
    <w:p w14:paraId="7EEBD6FC" w14:textId="3C2E5388" w:rsidR="000924C9" w:rsidRPr="00DA1417" w:rsidRDefault="00ED3E28" w:rsidP="00ED3E28">
      <w:pPr>
        <w:pStyle w:val="Titre1"/>
        <w:rPr>
          <w:b w:val="0"/>
          <w:sz w:val="22"/>
          <w:szCs w:val="22"/>
          <w:lang w:val="en-US"/>
        </w:rPr>
      </w:pPr>
      <w:r w:rsidRPr="00DA1417">
        <w:rPr>
          <w:bCs/>
          <w:sz w:val="22"/>
          <w:szCs w:val="22"/>
          <w:lang w:val="en-US"/>
        </w:rPr>
        <w:t xml:space="preserve">Supplementary File </w:t>
      </w:r>
      <w:r w:rsidR="004A4BCF" w:rsidRPr="00DA1417">
        <w:rPr>
          <w:bCs/>
          <w:sz w:val="22"/>
          <w:szCs w:val="22"/>
          <w:lang w:val="en-US"/>
        </w:rPr>
        <w:t>3</w:t>
      </w:r>
      <w:r w:rsidR="00E770E5" w:rsidRPr="00DA1417">
        <w:rPr>
          <w:b w:val="0"/>
          <w:sz w:val="22"/>
          <w:szCs w:val="22"/>
          <w:lang w:val="en-US"/>
        </w:rPr>
        <w:t>.</w:t>
      </w:r>
      <w:r w:rsidR="0080749D" w:rsidRPr="00DA1417">
        <w:rPr>
          <w:b w:val="0"/>
          <w:sz w:val="22"/>
          <w:szCs w:val="22"/>
          <w:lang w:val="en-US"/>
        </w:rPr>
        <w:t xml:space="preserve"> Estimated values of </w:t>
      </w:r>
      <w:r w:rsidR="00943DDB" w:rsidRPr="00DA1417">
        <w:rPr>
          <w:b w:val="0"/>
          <w:sz w:val="22"/>
          <w:szCs w:val="22"/>
          <w:lang w:val="en-US"/>
        </w:rPr>
        <w:t xml:space="preserve">gradient decay length for </w:t>
      </w:r>
      <w:r w:rsidR="0080749D" w:rsidRPr="00DA1417">
        <w:rPr>
          <w:b w:val="0"/>
          <w:sz w:val="22"/>
          <w:szCs w:val="22"/>
          <w:lang w:val="en-US"/>
        </w:rPr>
        <w:t xml:space="preserve">the </w:t>
      </w:r>
      <w:proofErr w:type="spellStart"/>
      <w:r w:rsidR="0080749D" w:rsidRPr="00DA1417">
        <w:rPr>
          <w:b w:val="0"/>
          <w:sz w:val="22"/>
          <w:szCs w:val="22"/>
          <w:lang w:val="en-US"/>
        </w:rPr>
        <w:t>Bcd</w:t>
      </w:r>
      <w:proofErr w:type="spellEnd"/>
      <w:r w:rsidR="0080749D" w:rsidRPr="00DA1417">
        <w:rPr>
          <w:b w:val="0"/>
          <w:sz w:val="22"/>
          <w:szCs w:val="22"/>
          <w:lang w:val="en-US"/>
        </w:rPr>
        <w:t xml:space="preserve"> protein and </w:t>
      </w:r>
      <w:proofErr w:type="spellStart"/>
      <w:r w:rsidR="0080749D" w:rsidRPr="00DA1417">
        <w:rPr>
          <w:b w:val="0"/>
          <w:sz w:val="22"/>
          <w:szCs w:val="22"/>
          <w:lang w:val="en-US"/>
        </w:rPr>
        <w:t>Bcd</w:t>
      </w:r>
      <w:proofErr w:type="spellEnd"/>
      <w:r w:rsidR="0080749D" w:rsidRPr="00DA1417">
        <w:rPr>
          <w:b w:val="0"/>
          <w:sz w:val="22"/>
          <w:szCs w:val="22"/>
          <w:lang w:val="en-US"/>
        </w:rPr>
        <w:t xml:space="preserve"> fluorescently tagged protein gradients from previous </w:t>
      </w:r>
      <w:r w:rsidR="00DA1417">
        <w:rPr>
          <w:b w:val="0"/>
          <w:sz w:val="22"/>
          <w:szCs w:val="22"/>
          <w:lang w:val="en-US"/>
        </w:rPr>
        <w:t>studies</w:t>
      </w:r>
      <w:r w:rsidR="0080749D" w:rsidRPr="00DA1417">
        <w:rPr>
          <w:b w:val="0"/>
          <w:sz w:val="22"/>
          <w:szCs w:val="22"/>
          <w:lang w:val="en-US"/>
        </w:rPr>
        <w:t xml:space="preserve">. </w:t>
      </w:r>
    </w:p>
    <w:p w14:paraId="1868439C" w14:textId="1F81AEE9" w:rsidR="007F1A1D" w:rsidRDefault="007F1A1D" w:rsidP="00ED3E28">
      <w:pPr>
        <w:suppressLineNumbers/>
        <w:rPr>
          <w:lang w:val="en-US"/>
        </w:rPr>
      </w:pPr>
    </w:p>
    <w:p w14:paraId="1EDF93F8" w14:textId="77777777" w:rsidR="007F1A1D" w:rsidRPr="00581D2E" w:rsidRDefault="007F1A1D" w:rsidP="00ED3E28">
      <w:pPr>
        <w:suppressLineNumbers/>
        <w:spacing w:before="120"/>
        <w:jc w:val="both"/>
        <w:rPr>
          <w:b/>
          <w:bCs/>
          <w:sz w:val="28"/>
          <w:szCs w:val="28"/>
          <w:shd w:val="clear" w:color="auto" w:fill="FFFFFF"/>
          <w:lang w:val="en-US"/>
        </w:rPr>
      </w:pPr>
      <w:r w:rsidRPr="00581D2E">
        <w:rPr>
          <w:b/>
          <w:bCs/>
          <w:sz w:val="28"/>
          <w:szCs w:val="28"/>
          <w:shd w:val="clear" w:color="auto" w:fill="FFFFFF"/>
          <w:lang w:val="en-US"/>
        </w:rPr>
        <w:t>References</w:t>
      </w:r>
    </w:p>
    <w:p w14:paraId="5EA934FE" w14:textId="0630445F" w:rsidR="007F1A1D" w:rsidRPr="00BD7AC6" w:rsidRDefault="007F1A1D" w:rsidP="00ED3E28">
      <w:pPr>
        <w:pStyle w:val="Bibliographie"/>
        <w:suppressLineNumbers/>
        <w:spacing w:before="120"/>
        <w:rPr>
          <w:rFonts w:ascii="Calibri" w:hAnsi="Calibri" w:cs="Calibri"/>
          <w:lang w:val="en-US"/>
        </w:rPr>
      </w:pPr>
      <w:r w:rsidRPr="004B5005">
        <w:rPr>
          <w:lang w:val="en-US"/>
        </w:rPr>
        <w:fldChar w:fldCharType="begin"/>
      </w:r>
      <w:r w:rsidRPr="00C95ED8">
        <w:rPr>
          <w:lang w:val="en-US"/>
        </w:rPr>
        <w:instrText xml:space="preserve"> ADDIN ZOTERO_BIBL {"uncited":[],"omitted":[],"custom":[]} CSL_BIBLIOGRAPHY </w:instrText>
      </w:r>
      <w:r w:rsidRPr="004B5005">
        <w:rPr>
          <w:lang w:val="en-US"/>
        </w:rPr>
        <w:fldChar w:fldCharType="separate"/>
      </w:r>
      <w:r w:rsidRPr="00BD7AC6">
        <w:rPr>
          <w:rFonts w:ascii="Calibri" w:hAnsi="Calibri" w:cs="Calibri"/>
          <w:lang w:val="en-US"/>
        </w:rPr>
        <w:t xml:space="preserve">Abu-Arish A, Porcher A, Czerwonka A, Dostatni N, Fradin C. 2010. High mobility of Bicoid captured by fluorescence correlation spectroscopy: Implication for the rapid establishment of its gradient. </w:t>
      </w:r>
      <w:r w:rsidRPr="00BD7AC6">
        <w:rPr>
          <w:rFonts w:ascii="Calibri" w:hAnsi="Calibri" w:cs="Calibri"/>
          <w:i/>
          <w:iCs/>
          <w:lang w:val="en-US"/>
        </w:rPr>
        <w:t>Biophys J</w:t>
      </w:r>
      <w:r w:rsidRPr="00BD7AC6">
        <w:rPr>
          <w:rFonts w:ascii="Calibri" w:hAnsi="Calibri" w:cs="Calibri"/>
          <w:lang w:val="en-US"/>
        </w:rPr>
        <w:t xml:space="preserve"> </w:t>
      </w:r>
      <w:r w:rsidRPr="00BD7AC6">
        <w:rPr>
          <w:rFonts w:ascii="Calibri" w:hAnsi="Calibri" w:cs="Calibri"/>
          <w:b/>
          <w:bCs/>
          <w:lang w:val="en-US"/>
        </w:rPr>
        <w:t>99</w:t>
      </w:r>
      <w:r w:rsidRPr="00BD7AC6">
        <w:rPr>
          <w:rFonts w:ascii="Calibri" w:hAnsi="Calibri" w:cs="Calibri"/>
          <w:lang w:val="en-US"/>
        </w:rPr>
        <w:t>:33–35. doi:10.1016/j.bpj.2010.05.031</w:t>
      </w:r>
    </w:p>
    <w:p w14:paraId="1C62D888" w14:textId="77777777" w:rsidR="007F1A1D" w:rsidRPr="00BD7AC6" w:rsidRDefault="007F1A1D" w:rsidP="00ED3E28">
      <w:pPr>
        <w:pStyle w:val="Bibliographie"/>
        <w:suppressLineNumbers/>
        <w:spacing w:before="120"/>
        <w:rPr>
          <w:rFonts w:ascii="Calibri" w:hAnsi="Calibri" w:cs="Calibri"/>
          <w:lang w:val="en-US"/>
        </w:rPr>
      </w:pPr>
      <w:r w:rsidRPr="00BD7AC6">
        <w:rPr>
          <w:rFonts w:ascii="Calibri" w:hAnsi="Calibri" w:cs="Calibri"/>
          <w:lang w:val="en-US"/>
        </w:rPr>
        <w:t xml:space="preserve">Durrieu L, Kirrmaier D, Schneidt T, Kats I, Raghavan S, Hufnagel L, Saunders TE, Knop M. 2018. Bicoid gradient formation mechanism and dynamics revealed by protein lifetime analysis. </w:t>
      </w:r>
      <w:r w:rsidRPr="00BD7AC6">
        <w:rPr>
          <w:rFonts w:ascii="Calibri" w:hAnsi="Calibri" w:cs="Calibri"/>
          <w:i/>
          <w:iCs/>
          <w:lang w:val="en-US"/>
        </w:rPr>
        <w:t>Mol Syst Biol</w:t>
      </w:r>
      <w:r w:rsidRPr="00BD7AC6">
        <w:rPr>
          <w:rFonts w:ascii="Calibri" w:hAnsi="Calibri" w:cs="Calibri"/>
          <w:lang w:val="en-US"/>
        </w:rPr>
        <w:t xml:space="preserve"> </w:t>
      </w:r>
      <w:r w:rsidRPr="00BD7AC6">
        <w:rPr>
          <w:rFonts w:ascii="Calibri" w:hAnsi="Calibri" w:cs="Calibri"/>
          <w:b/>
          <w:bCs/>
          <w:lang w:val="en-US"/>
        </w:rPr>
        <w:t>14</w:t>
      </w:r>
      <w:r w:rsidRPr="00BD7AC6">
        <w:rPr>
          <w:rFonts w:ascii="Calibri" w:hAnsi="Calibri" w:cs="Calibri"/>
          <w:lang w:val="en-US"/>
        </w:rPr>
        <w:t>:e8355. doi:10.15252/msb.20188355</w:t>
      </w:r>
    </w:p>
    <w:p w14:paraId="47700B46" w14:textId="77777777" w:rsidR="007F1A1D" w:rsidRPr="00BD7AC6" w:rsidRDefault="007F1A1D" w:rsidP="00ED3E28">
      <w:pPr>
        <w:pStyle w:val="Bibliographie"/>
        <w:suppressLineNumbers/>
        <w:spacing w:before="120"/>
        <w:rPr>
          <w:rFonts w:ascii="Calibri" w:hAnsi="Calibri" w:cs="Calibri"/>
          <w:lang w:val="de-DE"/>
        </w:rPr>
      </w:pPr>
      <w:r w:rsidRPr="00BD7AC6">
        <w:rPr>
          <w:rFonts w:ascii="Calibri" w:hAnsi="Calibri" w:cs="Calibri"/>
          <w:lang w:val="en-US"/>
        </w:rPr>
        <w:t xml:space="preserve">Gregor T, Wieschaus E, McGregor AP, Bialek W, Tank DW. 2007b. Stability and nuclear dynamics of the Bicoid morphogen gradient. </w:t>
      </w:r>
      <w:r w:rsidRPr="00BD7AC6">
        <w:rPr>
          <w:rFonts w:ascii="Calibri" w:hAnsi="Calibri" w:cs="Calibri"/>
          <w:i/>
          <w:iCs/>
          <w:lang w:val="de-DE"/>
        </w:rPr>
        <w:t>Cell</w:t>
      </w:r>
      <w:r w:rsidRPr="00BD7AC6">
        <w:rPr>
          <w:rFonts w:ascii="Calibri" w:hAnsi="Calibri" w:cs="Calibri"/>
          <w:lang w:val="de-DE"/>
        </w:rPr>
        <w:t xml:space="preserve"> </w:t>
      </w:r>
      <w:r w:rsidRPr="00BD7AC6">
        <w:rPr>
          <w:rFonts w:ascii="Calibri" w:hAnsi="Calibri" w:cs="Calibri"/>
          <w:b/>
          <w:bCs/>
          <w:lang w:val="de-DE"/>
        </w:rPr>
        <w:t>130</w:t>
      </w:r>
      <w:r w:rsidRPr="00BD7AC6">
        <w:rPr>
          <w:rFonts w:ascii="Calibri" w:hAnsi="Calibri" w:cs="Calibri"/>
          <w:lang w:val="de-DE"/>
        </w:rPr>
        <w:t>:141–152. doi:10.1016/j.cell.2007.05.026</w:t>
      </w:r>
    </w:p>
    <w:p w14:paraId="1719A53D" w14:textId="77777777" w:rsidR="007F1A1D" w:rsidRPr="00BD7AC6" w:rsidRDefault="007F1A1D" w:rsidP="00ED3E28">
      <w:pPr>
        <w:pStyle w:val="Bibliographie"/>
        <w:suppressLineNumbers/>
        <w:spacing w:before="120"/>
        <w:rPr>
          <w:rFonts w:ascii="Calibri" w:hAnsi="Calibri" w:cs="Calibri"/>
          <w:lang w:val="en-US"/>
        </w:rPr>
      </w:pPr>
      <w:r w:rsidRPr="00BD7AC6">
        <w:rPr>
          <w:rFonts w:ascii="Calibri" w:hAnsi="Calibri" w:cs="Calibri"/>
          <w:lang w:val="de-DE"/>
        </w:rPr>
        <w:t xml:space="preserve">Houchmandzadeh B, Wieschaus E, Leibler S. 2002. </w:t>
      </w:r>
      <w:r w:rsidRPr="00BD7AC6">
        <w:rPr>
          <w:rFonts w:ascii="Calibri" w:hAnsi="Calibri" w:cs="Calibri"/>
          <w:lang w:val="en-US"/>
        </w:rPr>
        <w:t xml:space="preserve">Establishment of developmental precision and proportions in the early Drosophila embryo. </w:t>
      </w:r>
      <w:r w:rsidRPr="00BD7AC6">
        <w:rPr>
          <w:rFonts w:ascii="Calibri" w:hAnsi="Calibri" w:cs="Calibri"/>
          <w:i/>
          <w:iCs/>
          <w:lang w:val="en-US"/>
        </w:rPr>
        <w:t>Nature</w:t>
      </w:r>
      <w:r w:rsidRPr="00BD7AC6">
        <w:rPr>
          <w:rFonts w:ascii="Calibri" w:hAnsi="Calibri" w:cs="Calibri"/>
          <w:lang w:val="en-US"/>
        </w:rPr>
        <w:t xml:space="preserve"> </w:t>
      </w:r>
      <w:r w:rsidRPr="00BD7AC6">
        <w:rPr>
          <w:rFonts w:ascii="Calibri" w:hAnsi="Calibri" w:cs="Calibri"/>
          <w:b/>
          <w:bCs/>
          <w:lang w:val="en-US"/>
        </w:rPr>
        <w:t>415</w:t>
      </w:r>
      <w:r w:rsidRPr="00BD7AC6">
        <w:rPr>
          <w:rFonts w:ascii="Calibri" w:hAnsi="Calibri" w:cs="Calibri"/>
          <w:lang w:val="en-US"/>
        </w:rPr>
        <w:t>:798–802. doi:10.1038/415798a</w:t>
      </w:r>
    </w:p>
    <w:p w14:paraId="4DE4C1BE" w14:textId="77777777" w:rsidR="007F1A1D" w:rsidRPr="00BD7AC6" w:rsidRDefault="007F1A1D" w:rsidP="00ED3E28">
      <w:pPr>
        <w:pStyle w:val="Bibliographie"/>
        <w:suppressLineNumbers/>
        <w:spacing w:before="120"/>
        <w:rPr>
          <w:rFonts w:ascii="Calibri" w:hAnsi="Calibri" w:cs="Calibri"/>
          <w:lang w:val="en-US"/>
        </w:rPr>
      </w:pPr>
      <w:r w:rsidRPr="00BD7AC6">
        <w:rPr>
          <w:rFonts w:ascii="Calibri" w:hAnsi="Calibri" w:cs="Calibri"/>
          <w:lang w:val="en-US"/>
        </w:rPr>
        <w:t xml:space="preserve">Liu F, Morrison AH, Gregor T. 2013. Dynamic interpretation of maternal inputs by the Drosophila segmentation gene network. </w:t>
      </w:r>
      <w:r w:rsidRPr="00BD7AC6">
        <w:rPr>
          <w:rFonts w:ascii="Calibri" w:hAnsi="Calibri" w:cs="Calibri"/>
          <w:i/>
          <w:iCs/>
          <w:lang w:val="en-US"/>
        </w:rPr>
        <w:t>Proc Natl Acad Sci</w:t>
      </w:r>
      <w:r w:rsidRPr="00BD7AC6">
        <w:rPr>
          <w:rFonts w:ascii="Calibri" w:hAnsi="Calibri" w:cs="Calibri"/>
          <w:lang w:val="en-US"/>
        </w:rPr>
        <w:t xml:space="preserve"> </w:t>
      </w:r>
      <w:r w:rsidRPr="00BD7AC6">
        <w:rPr>
          <w:rFonts w:ascii="Calibri" w:hAnsi="Calibri" w:cs="Calibri"/>
          <w:b/>
          <w:bCs/>
          <w:lang w:val="en-US"/>
        </w:rPr>
        <w:t>110</w:t>
      </w:r>
      <w:r w:rsidRPr="00BD7AC6">
        <w:rPr>
          <w:rFonts w:ascii="Calibri" w:hAnsi="Calibri" w:cs="Calibri"/>
          <w:lang w:val="en-US"/>
        </w:rPr>
        <w:t>:6724–6729. doi:10.1073/pnas.1220912110</w:t>
      </w:r>
    </w:p>
    <w:p w14:paraId="5BE972C9" w14:textId="77777777" w:rsidR="007F1A1D" w:rsidRPr="00BD7AC6" w:rsidRDefault="007F1A1D" w:rsidP="00ED3E28">
      <w:pPr>
        <w:pStyle w:val="Bibliographie"/>
        <w:suppressLineNumbers/>
        <w:spacing w:before="120"/>
        <w:rPr>
          <w:rFonts w:ascii="Calibri" w:hAnsi="Calibri" w:cs="Calibri"/>
        </w:rPr>
      </w:pPr>
      <w:r w:rsidRPr="00BD7AC6">
        <w:rPr>
          <w:rFonts w:ascii="Calibri" w:hAnsi="Calibri" w:cs="Calibri"/>
          <w:lang w:val="en-US"/>
        </w:rPr>
        <w:t xml:space="preserve">Xu H, Sepúlveda LA, Figard L, Sokac AM, Golding I. 2015. Combining protein and mRNA quantification to decipher transcriptional regulation. </w:t>
      </w:r>
      <w:r w:rsidRPr="00BD7AC6">
        <w:rPr>
          <w:rFonts w:ascii="Calibri" w:hAnsi="Calibri" w:cs="Calibri"/>
          <w:i/>
          <w:iCs/>
        </w:rPr>
        <w:t>Nat Methods</w:t>
      </w:r>
      <w:r w:rsidRPr="00BD7AC6">
        <w:rPr>
          <w:rFonts w:ascii="Calibri" w:hAnsi="Calibri" w:cs="Calibri"/>
        </w:rPr>
        <w:t xml:space="preserve"> </w:t>
      </w:r>
      <w:r w:rsidRPr="00BD7AC6">
        <w:rPr>
          <w:rFonts w:ascii="Calibri" w:hAnsi="Calibri" w:cs="Calibri"/>
          <w:b/>
          <w:bCs/>
        </w:rPr>
        <w:t>12</w:t>
      </w:r>
      <w:r w:rsidRPr="00BD7AC6">
        <w:rPr>
          <w:rFonts w:ascii="Calibri" w:hAnsi="Calibri" w:cs="Calibri"/>
        </w:rPr>
        <w:t>:739–42. doi:10.1038/nmeth.3446</w:t>
      </w:r>
    </w:p>
    <w:p w14:paraId="4D1FD3F8" w14:textId="25E55DEA" w:rsidR="007F1A1D" w:rsidRPr="007F1A1D" w:rsidRDefault="007F1A1D" w:rsidP="00ED3E28">
      <w:pPr>
        <w:suppressLineNumbers/>
        <w:spacing w:before="120" w:after="0" w:line="240" w:lineRule="auto"/>
        <w:rPr>
          <w:lang w:val="en-US"/>
        </w:rPr>
      </w:pPr>
      <w:r w:rsidRPr="004B5005">
        <w:rPr>
          <w:lang w:val="en-US"/>
        </w:rPr>
        <w:fldChar w:fldCharType="end"/>
      </w:r>
    </w:p>
    <w:sectPr w:rsidR="007F1A1D" w:rsidRPr="007F1A1D" w:rsidSect="008A05D8">
      <w:footerReference w:type="default" r:id="rId8"/>
      <w:pgSz w:w="11906" w:h="16838"/>
      <w:pgMar w:top="1417" w:right="1417" w:bottom="1417" w:left="1417" w:header="708" w:footer="708" w:gutter="0"/>
      <w:lnNumType w:countBy="1" w:restart="continuous"/>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ADBA" w14:textId="77777777" w:rsidR="00E24CD5" w:rsidRDefault="00E24CD5" w:rsidP="00A041FA">
      <w:pPr>
        <w:spacing w:after="0" w:line="240" w:lineRule="auto"/>
      </w:pPr>
      <w:r>
        <w:separator/>
      </w:r>
    </w:p>
  </w:endnote>
  <w:endnote w:type="continuationSeparator" w:id="0">
    <w:p w14:paraId="15D4398F" w14:textId="77777777" w:rsidR="00E24CD5" w:rsidRDefault="00E24CD5" w:rsidP="00A0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EEB1" w14:textId="77777777" w:rsidR="00ED4FFB" w:rsidRDefault="00ED4F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59E48" w14:textId="77777777" w:rsidR="00E24CD5" w:rsidRDefault="00E24CD5" w:rsidP="00A041FA">
      <w:pPr>
        <w:spacing w:after="0" w:line="240" w:lineRule="auto"/>
      </w:pPr>
      <w:r>
        <w:separator/>
      </w:r>
    </w:p>
  </w:footnote>
  <w:footnote w:type="continuationSeparator" w:id="0">
    <w:p w14:paraId="451373B4" w14:textId="77777777" w:rsidR="00E24CD5" w:rsidRDefault="00E24CD5" w:rsidP="00A04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B6120"/>
    <w:multiLevelType w:val="hybridMultilevel"/>
    <w:tmpl w:val="A1F49226"/>
    <w:lvl w:ilvl="0" w:tplc="A59CE4E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FA070DB"/>
    <w:multiLevelType w:val="hybridMultilevel"/>
    <w:tmpl w:val="9C70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22B5"/>
    <w:multiLevelType w:val="hybridMultilevel"/>
    <w:tmpl w:val="4E7C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1E39B6"/>
    <w:multiLevelType w:val="hybridMultilevel"/>
    <w:tmpl w:val="722C9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E1091B"/>
    <w:multiLevelType w:val="hybridMultilevel"/>
    <w:tmpl w:val="DFD45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41"/>
    <w:rsid w:val="000014EE"/>
    <w:rsid w:val="000227AA"/>
    <w:rsid w:val="00026246"/>
    <w:rsid w:val="000268D0"/>
    <w:rsid w:val="00044158"/>
    <w:rsid w:val="0004691F"/>
    <w:rsid w:val="00046FC1"/>
    <w:rsid w:val="00047211"/>
    <w:rsid w:val="00047BB5"/>
    <w:rsid w:val="00063F59"/>
    <w:rsid w:val="000746F6"/>
    <w:rsid w:val="000861EE"/>
    <w:rsid w:val="00086229"/>
    <w:rsid w:val="000870F4"/>
    <w:rsid w:val="00087A7E"/>
    <w:rsid w:val="000924C9"/>
    <w:rsid w:val="000A69D1"/>
    <w:rsid w:val="000B2194"/>
    <w:rsid w:val="000B5784"/>
    <w:rsid w:val="000C32CF"/>
    <w:rsid w:val="000C4567"/>
    <w:rsid w:val="000C699B"/>
    <w:rsid w:val="000C7FA8"/>
    <w:rsid w:val="000D19AF"/>
    <w:rsid w:val="000D1AA3"/>
    <w:rsid w:val="000D22EE"/>
    <w:rsid w:val="000D2EC5"/>
    <w:rsid w:val="000D5575"/>
    <w:rsid w:val="000D592D"/>
    <w:rsid w:val="000D5DEF"/>
    <w:rsid w:val="000E4B53"/>
    <w:rsid w:val="000E6AC0"/>
    <w:rsid w:val="000E71E2"/>
    <w:rsid w:val="000F0D05"/>
    <w:rsid w:val="000F5786"/>
    <w:rsid w:val="000F607B"/>
    <w:rsid w:val="00107A57"/>
    <w:rsid w:val="00113310"/>
    <w:rsid w:val="0012371D"/>
    <w:rsid w:val="0012507D"/>
    <w:rsid w:val="001251E3"/>
    <w:rsid w:val="00127742"/>
    <w:rsid w:val="00146C7C"/>
    <w:rsid w:val="00151108"/>
    <w:rsid w:val="0015269E"/>
    <w:rsid w:val="00160E21"/>
    <w:rsid w:val="00163B43"/>
    <w:rsid w:val="00165008"/>
    <w:rsid w:val="00166B21"/>
    <w:rsid w:val="001670D0"/>
    <w:rsid w:val="0017722A"/>
    <w:rsid w:val="00195089"/>
    <w:rsid w:val="001A0669"/>
    <w:rsid w:val="001A0BF9"/>
    <w:rsid w:val="001A1D45"/>
    <w:rsid w:val="001A790C"/>
    <w:rsid w:val="001C1D83"/>
    <w:rsid w:val="001C218C"/>
    <w:rsid w:val="001C2E05"/>
    <w:rsid w:val="001C3DB6"/>
    <w:rsid w:val="001D0B7A"/>
    <w:rsid w:val="001D17BA"/>
    <w:rsid w:val="001D3BD0"/>
    <w:rsid w:val="001E1AEA"/>
    <w:rsid w:val="001E23FF"/>
    <w:rsid w:val="001E5037"/>
    <w:rsid w:val="001E6BFC"/>
    <w:rsid w:val="001F0BF1"/>
    <w:rsid w:val="001F4C22"/>
    <w:rsid w:val="001F5186"/>
    <w:rsid w:val="00202216"/>
    <w:rsid w:val="0020398E"/>
    <w:rsid w:val="00204157"/>
    <w:rsid w:val="0020683C"/>
    <w:rsid w:val="00206B42"/>
    <w:rsid w:val="00215A72"/>
    <w:rsid w:val="002210EC"/>
    <w:rsid w:val="0022547B"/>
    <w:rsid w:val="002261CA"/>
    <w:rsid w:val="0022770C"/>
    <w:rsid w:val="002375EE"/>
    <w:rsid w:val="0024418E"/>
    <w:rsid w:val="002451FC"/>
    <w:rsid w:val="00246013"/>
    <w:rsid w:val="0025525F"/>
    <w:rsid w:val="00261F28"/>
    <w:rsid w:val="00262263"/>
    <w:rsid w:val="002639B4"/>
    <w:rsid w:val="0026479F"/>
    <w:rsid w:val="00267442"/>
    <w:rsid w:val="002710ED"/>
    <w:rsid w:val="002711D8"/>
    <w:rsid w:val="00272AA4"/>
    <w:rsid w:val="0027580A"/>
    <w:rsid w:val="002779D1"/>
    <w:rsid w:val="00290423"/>
    <w:rsid w:val="0029141A"/>
    <w:rsid w:val="00296BFB"/>
    <w:rsid w:val="002A39D2"/>
    <w:rsid w:val="002A545D"/>
    <w:rsid w:val="002A6342"/>
    <w:rsid w:val="002A74F6"/>
    <w:rsid w:val="002B56D9"/>
    <w:rsid w:val="002B6D5A"/>
    <w:rsid w:val="002C1DE9"/>
    <w:rsid w:val="002C1EA1"/>
    <w:rsid w:val="002C205F"/>
    <w:rsid w:val="002C66C6"/>
    <w:rsid w:val="002D004E"/>
    <w:rsid w:val="002D1741"/>
    <w:rsid w:val="002D261C"/>
    <w:rsid w:val="002D454A"/>
    <w:rsid w:val="002D5595"/>
    <w:rsid w:val="002E27B4"/>
    <w:rsid w:val="002E6747"/>
    <w:rsid w:val="002F5BB9"/>
    <w:rsid w:val="002F6F9F"/>
    <w:rsid w:val="00304BA2"/>
    <w:rsid w:val="003152F3"/>
    <w:rsid w:val="0031635A"/>
    <w:rsid w:val="003216FB"/>
    <w:rsid w:val="003219CA"/>
    <w:rsid w:val="003225B0"/>
    <w:rsid w:val="00326461"/>
    <w:rsid w:val="0032735E"/>
    <w:rsid w:val="00331A09"/>
    <w:rsid w:val="003342F5"/>
    <w:rsid w:val="00337222"/>
    <w:rsid w:val="00341BBE"/>
    <w:rsid w:val="00350949"/>
    <w:rsid w:val="0035383D"/>
    <w:rsid w:val="00355E30"/>
    <w:rsid w:val="00361FC9"/>
    <w:rsid w:val="00362635"/>
    <w:rsid w:val="00363BED"/>
    <w:rsid w:val="003670D6"/>
    <w:rsid w:val="00375B3B"/>
    <w:rsid w:val="003868C9"/>
    <w:rsid w:val="00393900"/>
    <w:rsid w:val="00395322"/>
    <w:rsid w:val="003A23E9"/>
    <w:rsid w:val="003A4AE4"/>
    <w:rsid w:val="003B0DE7"/>
    <w:rsid w:val="003B14E6"/>
    <w:rsid w:val="003B785E"/>
    <w:rsid w:val="003C0476"/>
    <w:rsid w:val="003C3402"/>
    <w:rsid w:val="003D2307"/>
    <w:rsid w:val="003D568A"/>
    <w:rsid w:val="003E0CA3"/>
    <w:rsid w:val="003E7870"/>
    <w:rsid w:val="003F20A5"/>
    <w:rsid w:val="003F5F28"/>
    <w:rsid w:val="003F6237"/>
    <w:rsid w:val="00400286"/>
    <w:rsid w:val="00400EB5"/>
    <w:rsid w:val="004017EF"/>
    <w:rsid w:val="00401910"/>
    <w:rsid w:val="00410944"/>
    <w:rsid w:val="00416AE1"/>
    <w:rsid w:val="004208B5"/>
    <w:rsid w:val="004214E3"/>
    <w:rsid w:val="0042158A"/>
    <w:rsid w:val="00422A0F"/>
    <w:rsid w:val="00423CAB"/>
    <w:rsid w:val="00424CE9"/>
    <w:rsid w:val="0042758F"/>
    <w:rsid w:val="004301B6"/>
    <w:rsid w:val="00434FFB"/>
    <w:rsid w:val="004409E4"/>
    <w:rsid w:val="004477FD"/>
    <w:rsid w:val="00451FF8"/>
    <w:rsid w:val="00452951"/>
    <w:rsid w:val="0045414C"/>
    <w:rsid w:val="00454C4E"/>
    <w:rsid w:val="0046068E"/>
    <w:rsid w:val="004634AC"/>
    <w:rsid w:val="00463905"/>
    <w:rsid w:val="004640F2"/>
    <w:rsid w:val="0046491C"/>
    <w:rsid w:val="00476429"/>
    <w:rsid w:val="0049308D"/>
    <w:rsid w:val="004A204F"/>
    <w:rsid w:val="004A4A13"/>
    <w:rsid w:val="004A4BCF"/>
    <w:rsid w:val="004B3347"/>
    <w:rsid w:val="004B5005"/>
    <w:rsid w:val="004B747D"/>
    <w:rsid w:val="004B7527"/>
    <w:rsid w:val="004C1441"/>
    <w:rsid w:val="004C4374"/>
    <w:rsid w:val="004C5272"/>
    <w:rsid w:val="004D2218"/>
    <w:rsid w:val="004E01D7"/>
    <w:rsid w:val="004E66DD"/>
    <w:rsid w:val="004E7707"/>
    <w:rsid w:val="004F4990"/>
    <w:rsid w:val="004F5338"/>
    <w:rsid w:val="004F6039"/>
    <w:rsid w:val="00500930"/>
    <w:rsid w:val="005025A2"/>
    <w:rsid w:val="0050324A"/>
    <w:rsid w:val="0050598A"/>
    <w:rsid w:val="00514019"/>
    <w:rsid w:val="00517A1B"/>
    <w:rsid w:val="005238E6"/>
    <w:rsid w:val="005309A2"/>
    <w:rsid w:val="00533E0F"/>
    <w:rsid w:val="00545AD8"/>
    <w:rsid w:val="005479DE"/>
    <w:rsid w:val="0055289A"/>
    <w:rsid w:val="00553196"/>
    <w:rsid w:val="00563C29"/>
    <w:rsid w:val="00564256"/>
    <w:rsid w:val="00574FD8"/>
    <w:rsid w:val="00582FA2"/>
    <w:rsid w:val="00583618"/>
    <w:rsid w:val="00586617"/>
    <w:rsid w:val="00587C84"/>
    <w:rsid w:val="00596684"/>
    <w:rsid w:val="005A4E26"/>
    <w:rsid w:val="005B027F"/>
    <w:rsid w:val="005B41F1"/>
    <w:rsid w:val="005C7364"/>
    <w:rsid w:val="005C7DE0"/>
    <w:rsid w:val="005D16E8"/>
    <w:rsid w:val="005D50AA"/>
    <w:rsid w:val="005E20CE"/>
    <w:rsid w:val="005E30F9"/>
    <w:rsid w:val="005F7940"/>
    <w:rsid w:val="005F7BF8"/>
    <w:rsid w:val="0060729F"/>
    <w:rsid w:val="00614CD2"/>
    <w:rsid w:val="00621EBB"/>
    <w:rsid w:val="00621FAC"/>
    <w:rsid w:val="006318E1"/>
    <w:rsid w:val="00634D28"/>
    <w:rsid w:val="00636B9C"/>
    <w:rsid w:val="00640314"/>
    <w:rsid w:val="00645266"/>
    <w:rsid w:val="00645549"/>
    <w:rsid w:val="006524E8"/>
    <w:rsid w:val="00653820"/>
    <w:rsid w:val="00657F9A"/>
    <w:rsid w:val="00660F16"/>
    <w:rsid w:val="00663763"/>
    <w:rsid w:val="00663775"/>
    <w:rsid w:val="00663F82"/>
    <w:rsid w:val="0066409B"/>
    <w:rsid w:val="00667DE2"/>
    <w:rsid w:val="00670F5C"/>
    <w:rsid w:val="0067491D"/>
    <w:rsid w:val="00681BAE"/>
    <w:rsid w:val="006859EC"/>
    <w:rsid w:val="006873FA"/>
    <w:rsid w:val="00694D1B"/>
    <w:rsid w:val="00695C06"/>
    <w:rsid w:val="00696268"/>
    <w:rsid w:val="006A0D50"/>
    <w:rsid w:val="006B1FA0"/>
    <w:rsid w:val="006B652F"/>
    <w:rsid w:val="006C1873"/>
    <w:rsid w:val="006C614B"/>
    <w:rsid w:val="006C7AF0"/>
    <w:rsid w:val="006C7E7E"/>
    <w:rsid w:val="006D4DE2"/>
    <w:rsid w:val="006E1A6B"/>
    <w:rsid w:val="006F2100"/>
    <w:rsid w:val="00702C25"/>
    <w:rsid w:val="00724096"/>
    <w:rsid w:val="00724DCF"/>
    <w:rsid w:val="007256EB"/>
    <w:rsid w:val="007333DE"/>
    <w:rsid w:val="00752B07"/>
    <w:rsid w:val="00765DCC"/>
    <w:rsid w:val="007749B2"/>
    <w:rsid w:val="00774EAD"/>
    <w:rsid w:val="00781AB7"/>
    <w:rsid w:val="007859A9"/>
    <w:rsid w:val="0078661E"/>
    <w:rsid w:val="00796185"/>
    <w:rsid w:val="00797F6A"/>
    <w:rsid w:val="007A16BE"/>
    <w:rsid w:val="007A1744"/>
    <w:rsid w:val="007A2A44"/>
    <w:rsid w:val="007A2F60"/>
    <w:rsid w:val="007A4FFF"/>
    <w:rsid w:val="007A6835"/>
    <w:rsid w:val="007B0F57"/>
    <w:rsid w:val="007B1912"/>
    <w:rsid w:val="007B6F4C"/>
    <w:rsid w:val="007B7BCF"/>
    <w:rsid w:val="007C36B9"/>
    <w:rsid w:val="007C4E5B"/>
    <w:rsid w:val="007C672C"/>
    <w:rsid w:val="007C69F3"/>
    <w:rsid w:val="007D05D2"/>
    <w:rsid w:val="007D0B0E"/>
    <w:rsid w:val="007D5270"/>
    <w:rsid w:val="007D6DEC"/>
    <w:rsid w:val="007D7304"/>
    <w:rsid w:val="007E4695"/>
    <w:rsid w:val="007F1A1D"/>
    <w:rsid w:val="007F754D"/>
    <w:rsid w:val="00804432"/>
    <w:rsid w:val="00806305"/>
    <w:rsid w:val="0080749D"/>
    <w:rsid w:val="00810427"/>
    <w:rsid w:val="00810A00"/>
    <w:rsid w:val="008117D1"/>
    <w:rsid w:val="008175CE"/>
    <w:rsid w:val="00820181"/>
    <w:rsid w:val="00827260"/>
    <w:rsid w:val="00833238"/>
    <w:rsid w:val="00842DD7"/>
    <w:rsid w:val="00844F30"/>
    <w:rsid w:val="00850112"/>
    <w:rsid w:val="00864490"/>
    <w:rsid w:val="00864EA5"/>
    <w:rsid w:val="008746DC"/>
    <w:rsid w:val="008766EF"/>
    <w:rsid w:val="00883872"/>
    <w:rsid w:val="00885D96"/>
    <w:rsid w:val="00886AC5"/>
    <w:rsid w:val="00893ED2"/>
    <w:rsid w:val="00894678"/>
    <w:rsid w:val="008A05D8"/>
    <w:rsid w:val="008A6FF4"/>
    <w:rsid w:val="008B3AFF"/>
    <w:rsid w:val="008B41CC"/>
    <w:rsid w:val="008B422A"/>
    <w:rsid w:val="008C4F20"/>
    <w:rsid w:val="008C608B"/>
    <w:rsid w:val="008C63FE"/>
    <w:rsid w:val="008D10F2"/>
    <w:rsid w:val="008D2518"/>
    <w:rsid w:val="008D4CD3"/>
    <w:rsid w:val="008E5926"/>
    <w:rsid w:val="008E6BDB"/>
    <w:rsid w:val="008E7334"/>
    <w:rsid w:val="008F4622"/>
    <w:rsid w:val="009003DD"/>
    <w:rsid w:val="00903E62"/>
    <w:rsid w:val="00914D99"/>
    <w:rsid w:val="00921F44"/>
    <w:rsid w:val="00922164"/>
    <w:rsid w:val="00922252"/>
    <w:rsid w:val="00922E17"/>
    <w:rsid w:val="00923264"/>
    <w:rsid w:val="009303F6"/>
    <w:rsid w:val="009311B3"/>
    <w:rsid w:val="00935C42"/>
    <w:rsid w:val="00936235"/>
    <w:rsid w:val="00937E5C"/>
    <w:rsid w:val="00943DDB"/>
    <w:rsid w:val="009441AC"/>
    <w:rsid w:val="009516BD"/>
    <w:rsid w:val="009561F0"/>
    <w:rsid w:val="00956C34"/>
    <w:rsid w:val="00961AA9"/>
    <w:rsid w:val="00961CB8"/>
    <w:rsid w:val="00963D86"/>
    <w:rsid w:val="009645E1"/>
    <w:rsid w:val="00965760"/>
    <w:rsid w:val="00965763"/>
    <w:rsid w:val="00974F9D"/>
    <w:rsid w:val="009841A0"/>
    <w:rsid w:val="009849EC"/>
    <w:rsid w:val="00984FD0"/>
    <w:rsid w:val="0098601B"/>
    <w:rsid w:val="00992106"/>
    <w:rsid w:val="00993C7A"/>
    <w:rsid w:val="00994044"/>
    <w:rsid w:val="00994883"/>
    <w:rsid w:val="009955D2"/>
    <w:rsid w:val="009A3BC0"/>
    <w:rsid w:val="009A551D"/>
    <w:rsid w:val="009A6509"/>
    <w:rsid w:val="009A67DE"/>
    <w:rsid w:val="009B3070"/>
    <w:rsid w:val="009C19D1"/>
    <w:rsid w:val="009D71BF"/>
    <w:rsid w:val="009E1FE4"/>
    <w:rsid w:val="009E24CF"/>
    <w:rsid w:val="00A0134C"/>
    <w:rsid w:val="00A033D3"/>
    <w:rsid w:val="00A041FA"/>
    <w:rsid w:val="00A11318"/>
    <w:rsid w:val="00A11E9F"/>
    <w:rsid w:val="00A16232"/>
    <w:rsid w:val="00A22895"/>
    <w:rsid w:val="00A3082A"/>
    <w:rsid w:val="00A32530"/>
    <w:rsid w:val="00A3445C"/>
    <w:rsid w:val="00A35615"/>
    <w:rsid w:val="00A409C4"/>
    <w:rsid w:val="00A422CB"/>
    <w:rsid w:val="00A440E9"/>
    <w:rsid w:val="00A5540F"/>
    <w:rsid w:val="00A615D1"/>
    <w:rsid w:val="00A635A9"/>
    <w:rsid w:val="00A65BBC"/>
    <w:rsid w:val="00A66724"/>
    <w:rsid w:val="00A70D36"/>
    <w:rsid w:val="00A71522"/>
    <w:rsid w:val="00A73FFD"/>
    <w:rsid w:val="00A827B8"/>
    <w:rsid w:val="00A8430A"/>
    <w:rsid w:val="00A85ABC"/>
    <w:rsid w:val="00A9010C"/>
    <w:rsid w:val="00A92A17"/>
    <w:rsid w:val="00A9626D"/>
    <w:rsid w:val="00A9656A"/>
    <w:rsid w:val="00AA1138"/>
    <w:rsid w:val="00AB391D"/>
    <w:rsid w:val="00AB4C9B"/>
    <w:rsid w:val="00AC272F"/>
    <w:rsid w:val="00AC5D68"/>
    <w:rsid w:val="00AD0249"/>
    <w:rsid w:val="00AD14EA"/>
    <w:rsid w:val="00AD2286"/>
    <w:rsid w:val="00AD36E3"/>
    <w:rsid w:val="00AD73F1"/>
    <w:rsid w:val="00AE3509"/>
    <w:rsid w:val="00AF36F4"/>
    <w:rsid w:val="00B06C01"/>
    <w:rsid w:val="00B14AE5"/>
    <w:rsid w:val="00B160E3"/>
    <w:rsid w:val="00B179D2"/>
    <w:rsid w:val="00B2616A"/>
    <w:rsid w:val="00B30F37"/>
    <w:rsid w:val="00B37955"/>
    <w:rsid w:val="00B47403"/>
    <w:rsid w:val="00B50A2C"/>
    <w:rsid w:val="00B50BAC"/>
    <w:rsid w:val="00B53908"/>
    <w:rsid w:val="00B577E5"/>
    <w:rsid w:val="00B67D24"/>
    <w:rsid w:val="00B73677"/>
    <w:rsid w:val="00B75E01"/>
    <w:rsid w:val="00B7769B"/>
    <w:rsid w:val="00B77FC3"/>
    <w:rsid w:val="00B820DD"/>
    <w:rsid w:val="00B839A5"/>
    <w:rsid w:val="00B84CF2"/>
    <w:rsid w:val="00B971C0"/>
    <w:rsid w:val="00BA2295"/>
    <w:rsid w:val="00BA30EB"/>
    <w:rsid w:val="00BA44F6"/>
    <w:rsid w:val="00BA6B4D"/>
    <w:rsid w:val="00BB6A03"/>
    <w:rsid w:val="00BC32F9"/>
    <w:rsid w:val="00BC450B"/>
    <w:rsid w:val="00BD235A"/>
    <w:rsid w:val="00BD7AC6"/>
    <w:rsid w:val="00BE13B5"/>
    <w:rsid w:val="00BE13CD"/>
    <w:rsid w:val="00BE2505"/>
    <w:rsid w:val="00BE5088"/>
    <w:rsid w:val="00BF2C07"/>
    <w:rsid w:val="00BF648A"/>
    <w:rsid w:val="00BF7E43"/>
    <w:rsid w:val="00C01FA8"/>
    <w:rsid w:val="00C028F0"/>
    <w:rsid w:val="00C03E2A"/>
    <w:rsid w:val="00C03F19"/>
    <w:rsid w:val="00C04194"/>
    <w:rsid w:val="00C0568B"/>
    <w:rsid w:val="00C06191"/>
    <w:rsid w:val="00C070EF"/>
    <w:rsid w:val="00C14791"/>
    <w:rsid w:val="00C21291"/>
    <w:rsid w:val="00C22A73"/>
    <w:rsid w:val="00C24291"/>
    <w:rsid w:val="00C31E46"/>
    <w:rsid w:val="00C50AC9"/>
    <w:rsid w:val="00C644F4"/>
    <w:rsid w:val="00C674AE"/>
    <w:rsid w:val="00C72D0D"/>
    <w:rsid w:val="00C83406"/>
    <w:rsid w:val="00C8794F"/>
    <w:rsid w:val="00C90FD7"/>
    <w:rsid w:val="00C94B7F"/>
    <w:rsid w:val="00C95E50"/>
    <w:rsid w:val="00C95ED8"/>
    <w:rsid w:val="00CA4E04"/>
    <w:rsid w:val="00CA50C8"/>
    <w:rsid w:val="00CB303B"/>
    <w:rsid w:val="00CC3222"/>
    <w:rsid w:val="00CD12DC"/>
    <w:rsid w:val="00CE0C79"/>
    <w:rsid w:val="00CE1884"/>
    <w:rsid w:val="00CE221C"/>
    <w:rsid w:val="00CF1DEE"/>
    <w:rsid w:val="00CF5921"/>
    <w:rsid w:val="00CF63B8"/>
    <w:rsid w:val="00D10DAE"/>
    <w:rsid w:val="00D228A0"/>
    <w:rsid w:val="00D262D6"/>
    <w:rsid w:val="00D32885"/>
    <w:rsid w:val="00D35F5C"/>
    <w:rsid w:val="00D42825"/>
    <w:rsid w:val="00D42844"/>
    <w:rsid w:val="00D42FCF"/>
    <w:rsid w:val="00D4315E"/>
    <w:rsid w:val="00D52624"/>
    <w:rsid w:val="00D56C31"/>
    <w:rsid w:val="00D57CB0"/>
    <w:rsid w:val="00D6626C"/>
    <w:rsid w:val="00D67DDC"/>
    <w:rsid w:val="00D71123"/>
    <w:rsid w:val="00D714C7"/>
    <w:rsid w:val="00D74767"/>
    <w:rsid w:val="00D74A17"/>
    <w:rsid w:val="00D85701"/>
    <w:rsid w:val="00D85DD9"/>
    <w:rsid w:val="00DA1417"/>
    <w:rsid w:val="00DA27E7"/>
    <w:rsid w:val="00DC58F6"/>
    <w:rsid w:val="00DC7F9A"/>
    <w:rsid w:val="00DD1652"/>
    <w:rsid w:val="00DD5621"/>
    <w:rsid w:val="00DE6008"/>
    <w:rsid w:val="00DF53AA"/>
    <w:rsid w:val="00E072D3"/>
    <w:rsid w:val="00E1369C"/>
    <w:rsid w:val="00E1399D"/>
    <w:rsid w:val="00E17A3D"/>
    <w:rsid w:val="00E20475"/>
    <w:rsid w:val="00E229FC"/>
    <w:rsid w:val="00E245D9"/>
    <w:rsid w:val="00E24CD5"/>
    <w:rsid w:val="00E31661"/>
    <w:rsid w:val="00E331A7"/>
    <w:rsid w:val="00E35DC5"/>
    <w:rsid w:val="00E5789D"/>
    <w:rsid w:val="00E60A8E"/>
    <w:rsid w:val="00E702C0"/>
    <w:rsid w:val="00E7148E"/>
    <w:rsid w:val="00E71E71"/>
    <w:rsid w:val="00E72C86"/>
    <w:rsid w:val="00E7416C"/>
    <w:rsid w:val="00E770E5"/>
    <w:rsid w:val="00E826BE"/>
    <w:rsid w:val="00E851B6"/>
    <w:rsid w:val="00E9589C"/>
    <w:rsid w:val="00E96818"/>
    <w:rsid w:val="00EC10EC"/>
    <w:rsid w:val="00EC3D68"/>
    <w:rsid w:val="00EC54B8"/>
    <w:rsid w:val="00EC6332"/>
    <w:rsid w:val="00EC7D26"/>
    <w:rsid w:val="00ED32B0"/>
    <w:rsid w:val="00ED3E28"/>
    <w:rsid w:val="00ED4FFB"/>
    <w:rsid w:val="00ED6232"/>
    <w:rsid w:val="00ED7F20"/>
    <w:rsid w:val="00EE43EB"/>
    <w:rsid w:val="00EF24D5"/>
    <w:rsid w:val="00EF5BC0"/>
    <w:rsid w:val="00EF5C76"/>
    <w:rsid w:val="00F01DF6"/>
    <w:rsid w:val="00F04B50"/>
    <w:rsid w:val="00F14406"/>
    <w:rsid w:val="00F15835"/>
    <w:rsid w:val="00F22A46"/>
    <w:rsid w:val="00F22BD9"/>
    <w:rsid w:val="00F22D0E"/>
    <w:rsid w:val="00F237A7"/>
    <w:rsid w:val="00F247D8"/>
    <w:rsid w:val="00F34E17"/>
    <w:rsid w:val="00F42F92"/>
    <w:rsid w:val="00F53612"/>
    <w:rsid w:val="00F54AE0"/>
    <w:rsid w:val="00F54B82"/>
    <w:rsid w:val="00F56D13"/>
    <w:rsid w:val="00F60B1E"/>
    <w:rsid w:val="00F644F0"/>
    <w:rsid w:val="00F6690F"/>
    <w:rsid w:val="00F71D86"/>
    <w:rsid w:val="00F72790"/>
    <w:rsid w:val="00F83A80"/>
    <w:rsid w:val="00F86836"/>
    <w:rsid w:val="00F92889"/>
    <w:rsid w:val="00F9470F"/>
    <w:rsid w:val="00F96DE2"/>
    <w:rsid w:val="00FB04E0"/>
    <w:rsid w:val="00FC0758"/>
    <w:rsid w:val="00FC59B5"/>
    <w:rsid w:val="00FD23BE"/>
    <w:rsid w:val="00FD4014"/>
    <w:rsid w:val="00FE35F8"/>
    <w:rsid w:val="00FE4BF5"/>
    <w:rsid w:val="00FE55F3"/>
    <w:rsid w:val="00FE79C2"/>
    <w:rsid w:val="00FF2D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EBB6"/>
  <w14:defaultImageDpi w14:val="32767"/>
  <w15:chartTrackingRefBased/>
  <w15:docId w15:val="{7DE9B763-B65D-43B1-82F3-AE5A9845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1F44"/>
    <w:pPr>
      <w:keepNext/>
      <w:keepLines/>
      <w:spacing w:before="240" w:after="0"/>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921F44"/>
    <w:pPr>
      <w:keepNext/>
      <w:keepLines/>
      <w:spacing w:before="40" w:after="0"/>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921F44"/>
    <w:pPr>
      <w:keepNext/>
      <w:keepLines/>
      <w:spacing w:before="40" w:after="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26461"/>
    <w:rPr>
      <w:color w:val="808080"/>
    </w:rPr>
  </w:style>
  <w:style w:type="paragraph" w:styleId="Paragraphedeliste">
    <w:name w:val="List Paragraph"/>
    <w:basedOn w:val="Normal"/>
    <w:uiPriority w:val="34"/>
    <w:qFormat/>
    <w:rsid w:val="0098601B"/>
    <w:pPr>
      <w:ind w:left="720"/>
      <w:contextualSpacing/>
    </w:pPr>
  </w:style>
  <w:style w:type="paragraph" w:styleId="Textedebulles">
    <w:name w:val="Balloon Text"/>
    <w:basedOn w:val="Normal"/>
    <w:link w:val="TextedebullesCar"/>
    <w:uiPriority w:val="99"/>
    <w:semiHidden/>
    <w:unhideWhenUsed/>
    <w:rsid w:val="00423CAB"/>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23CAB"/>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7D7304"/>
    <w:rPr>
      <w:sz w:val="16"/>
      <w:szCs w:val="16"/>
    </w:rPr>
  </w:style>
  <w:style w:type="paragraph" w:styleId="Commentaire">
    <w:name w:val="annotation text"/>
    <w:basedOn w:val="Normal"/>
    <w:link w:val="CommentaireCar"/>
    <w:uiPriority w:val="99"/>
    <w:semiHidden/>
    <w:unhideWhenUsed/>
    <w:rsid w:val="007D7304"/>
    <w:pPr>
      <w:spacing w:line="240" w:lineRule="auto"/>
    </w:pPr>
    <w:rPr>
      <w:sz w:val="20"/>
      <w:szCs w:val="20"/>
    </w:rPr>
  </w:style>
  <w:style w:type="character" w:customStyle="1" w:styleId="CommentaireCar">
    <w:name w:val="Commentaire Car"/>
    <w:basedOn w:val="Policepardfaut"/>
    <w:link w:val="Commentaire"/>
    <w:uiPriority w:val="99"/>
    <w:semiHidden/>
    <w:rsid w:val="007D7304"/>
    <w:rPr>
      <w:sz w:val="20"/>
      <w:szCs w:val="20"/>
    </w:rPr>
  </w:style>
  <w:style w:type="paragraph" w:styleId="Objetducommentaire">
    <w:name w:val="annotation subject"/>
    <w:basedOn w:val="Commentaire"/>
    <w:next w:val="Commentaire"/>
    <w:link w:val="ObjetducommentaireCar"/>
    <w:uiPriority w:val="99"/>
    <w:semiHidden/>
    <w:unhideWhenUsed/>
    <w:rsid w:val="007D7304"/>
    <w:rPr>
      <w:b/>
      <w:bCs/>
    </w:rPr>
  </w:style>
  <w:style w:type="character" w:customStyle="1" w:styleId="ObjetducommentaireCar">
    <w:name w:val="Objet du commentaire Car"/>
    <w:basedOn w:val="CommentaireCar"/>
    <w:link w:val="Objetducommentaire"/>
    <w:uiPriority w:val="99"/>
    <w:semiHidden/>
    <w:rsid w:val="007D7304"/>
    <w:rPr>
      <w:b/>
      <w:bCs/>
      <w:sz w:val="20"/>
      <w:szCs w:val="20"/>
    </w:rPr>
  </w:style>
  <w:style w:type="character" w:customStyle="1" w:styleId="Titre2Car">
    <w:name w:val="Titre 2 Car"/>
    <w:basedOn w:val="Policepardfaut"/>
    <w:link w:val="Titre2"/>
    <w:uiPriority w:val="9"/>
    <w:rsid w:val="00921F44"/>
    <w:rPr>
      <w:rFonts w:eastAsiaTheme="majorEastAsia" w:cstheme="majorBidi"/>
      <w:b/>
      <w:sz w:val="26"/>
      <w:szCs w:val="26"/>
    </w:rPr>
  </w:style>
  <w:style w:type="character" w:customStyle="1" w:styleId="Titre1Car">
    <w:name w:val="Titre 1 Car"/>
    <w:basedOn w:val="Policepardfaut"/>
    <w:link w:val="Titre1"/>
    <w:uiPriority w:val="9"/>
    <w:rsid w:val="00921F44"/>
    <w:rPr>
      <w:rFonts w:eastAsiaTheme="majorEastAsia" w:cstheme="majorBidi"/>
      <w:b/>
      <w:sz w:val="32"/>
      <w:szCs w:val="32"/>
    </w:rPr>
  </w:style>
  <w:style w:type="character" w:customStyle="1" w:styleId="Titre3Car">
    <w:name w:val="Titre 3 Car"/>
    <w:basedOn w:val="Policepardfaut"/>
    <w:link w:val="Titre3"/>
    <w:uiPriority w:val="9"/>
    <w:rsid w:val="00921F44"/>
    <w:rPr>
      <w:rFonts w:eastAsiaTheme="majorEastAsia" w:cstheme="majorBidi"/>
      <w:b/>
      <w:szCs w:val="24"/>
    </w:rPr>
  </w:style>
  <w:style w:type="paragraph" w:styleId="Bibliographie">
    <w:name w:val="Bibliography"/>
    <w:basedOn w:val="Normal"/>
    <w:next w:val="Normal"/>
    <w:uiPriority w:val="37"/>
    <w:unhideWhenUsed/>
    <w:rsid w:val="008C608B"/>
    <w:pPr>
      <w:spacing w:after="0" w:line="240" w:lineRule="auto"/>
      <w:ind w:left="720" w:hanging="720"/>
    </w:pPr>
  </w:style>
  <w:style w:type="character" w:styleId="Lienhypertexte">
    <w:name w:val="Hyperlink"/>
    <w:basedOn w:val="Policepardfaut"/>
    <w:uiPriority w:val="99"/>
    <w:unhideWhenUsed/>
    <w:rsid w:val="00F22BD9"/>
    <w:rPr>
      <w:color w:val="0000FF" w:themeColor="hyperlink"/>
      <w:u w:val="single"/>
    </w:rPr>
  </w:style>
  <w:style w:type="character" w:styleId="Mentionnonrsolue">
    <w:name w:val="Unresolved Mention"/>
    <w:basedOn w:val="Policepardfaut"/>
    <w:uiPriority w:val="99"/>
    <w:semiHidden/>
    <w:unhideWhenUsed/>
    <w:rsid w:val="00F22BD9"/>
    <w:rPr>
      <w:color w:val="605E5C"/>
      <w:shd w:val="clear" w:color="auto" w:fill="E1DFDD"/>
    </w:rPr>
  </w:style>
  <w:style w:type="character" w:customStyle="1" w:styleId="fontstyle01">
    <w:name w:val="fontstyle01"/>
    <w:basedOn w:val="Policepardfaut"/>
    <w:rsid w:val="00F22BD9"/>
    <w:rPr>
      <w:rFonts w:ascii="ArialMT" w:hAnsi="ArialMT" w:hint="default"/>
      <w:b w:val="0"/>
      <w:bCs w:val="0"/>
      <w:i w:val="0"/>
      <w:iCs w:val="0"/>
      <w:color w:val="000000"/>
      <w:sz w:val="20"/>
      <w:szCs w:val="20"/>
    </w:rPr>
  </w:style>
  <w:style w:type="character" w:styleId="Numrodeligne">
    <w:name w:val="line number"/>
    <w:basedOn w:val="Policepardfaut"/>
    <w:uiPriority w:val="99"/>
    <w:semiHidden/>
    <w:unhideWhenUsed/>
    <w:rsid w:val="009E24CF"/>
  </w:style>
  <w:style w:type="paragraph" w:styleId="Titre">
    <w:name w:val="Title"/>
    <w:basedOn w:val="Normal"/>
    <w:next w:val="Normal"/>
    <w:link w:val="TitreCar"/>
    <w:uiPriority w:val="10"/>
    <w:qFormat/>
    <w:rsid w:val="005D16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16E8"/>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A041FA"/>
    <w:pPr>
      <w:tabs>
        <w:tab w:val="center" w:pos="4536"/>
        <w:tab w:val="right" w:pos="9072"/>
      </w:tabs>
      <w:spacing w:after="0" w:line="240" w:lineRule="auto"/>
    </w:pPr>
  </w:style>
  <w:style w:type="character" w:customStyle="1" w:styleId="En-tteCar">
    <w:name w:val="En-tête Car"/>
    <w:basedOn w:val="Policepardfaut"/>
    <w:link w:val="En-tte"/>
    <w:uiPriority w:val="99"/>
    <w:rsid w:val="00A041FA"/>
  </w:style>
  <w:style w:type="paragraph" w:styleId="Pieddepage">
    <w:name w:val="footer"/>
    <w:basedOn w:val="Normal"/>
    <w:link w:val="PieddepageCar"/>
    <w:uiPriority w:val="99"/>
    <w:unhideWhenUsed/>
    <w:rsid w:val="00A041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41FA"/>
  </w:style>
  <w:style w:type="paragraph" w:styleId="Rvision">
    <w:name w:val="Revision"/>
    <w:hidden/>
    <w:uiPriority w:val="99"/>
    <w:semiHidden/>
    <w:rsid w:val="00C95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43725">
      <w:bodyDiv w:val="1"/>
      <w:marLeft w:val="0"/>
      <w:marRight w:val="0"/>
      <w:marTop w:val="0"/>
      <w:marBottom w:val="0"/>
      <w:divBdr>
        <w:top w:val="none" w:sz="0" w:space="0" w:color="auto"/>
        <w:left w:val="none" w:sz="0" w:space="0" w:color="auto"/>
        <w:bottom w:val="none" w:sz="0" w:space="0" w:color="auto"/>
        <w:right w:val="none" w:sz="0" w:space="0" w:color="auto"/>
      </w:divBdr>
    </w:div>
    <w:div w:id="159416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4A9DD-A9B7-4CE5-ADEF-34CAD6CB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2989</Words>
  <Characters>16440</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Institut Curie</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Anakine</dc:creator>
  <cp:keywords/>
  <dc:description/>
  <cp:lastModifiedBy>Dostatni Nathalie</cp:lastModifiedBy>
  <cp:revision>4</cp:revision>
  <cp:lastPrinted>2022-02-03T16:05:00Z</cp:lastPrinted>
  <dcterms:created xsi:type="dcterms:W3CDTF">2022-02-10T18:04:00Z</dcterms:created>
  <dcterms:modified xsi:type="dcterms:W3CDTF">2022-02-11T17:55:00Z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http://csl.mendeley.com/styles/25275491/apa</vt:lpwstr>
  </property>
  <property fmtid="{D5CDD505-2E9C-101B-9397-08002B2CF9AE}" pid="9" name="Mendeley Recent Style Name 3_1">
    <vt:lpwstr>American Psychological Association 6th edition - Huy Tran</vt:lpwstr>
  </property>
  <property fmtid="{D5CDD505-2E9C-101B-9397-08002B2CF9AE}" pid="10" name="Mendeley Recent Style Id 4_1">
    <vt:lpwstr>http://www.zotero.org/styles/annual-reviews-author-date</vt:lpwstr>
  </property>
  <property fmtid="{D5CDD505-2E9C-101B-9397-08002B2CF9AE}" pid="11" name="Mendeley Recent Style Name 4_1">
    <vt:lpwstr>Annual Reviews (author-date)</vt:lpwstr>
  </property>
  <property fmtid="{D5CDD505-2E9C-101B-9397-08002B2CF9AE}" pid="12" name="Mendeley Recent Style Id 5_1">
    <vt:lpwstr>http://csl.mendeley.com/styles/25275491/annual-reviews-author-date</vt:lpwstr>
  </property>
  <property fmtid="{D5CDD505-2E9C-101B-9397-08002B2CF9AE}" pid="13" name="Mendeley Recent Style Name 5_1">
    <vt:lpwstr>Annual Reviews (author-date) - Huy Tran</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https://csl.mendeley.com/styles/25275491/chicago-author-date</vt:lpwstr>
  </property>
  <property fmtid="{D5CDD505-2E9C-101B-9397-08002B2CF9AE}" pid="17" name="Mendeley Recent Style Name 7_1">
    <vt:lpwstr>Chicago Manual of Style 17th edition (author-date) - Huy Tran</vt:lpwstr>
  </property>
  <property fmtid="{D5CDD505-2E9C-101B-9397-08002B2CF9AE}" pid="18" name="Mendeley Recent Style Id 8_1">
    <vt:lpwstr>http://www.zotero.org/styles/developmental-biology</vt:lpwstr>
  </property>
  <property fmtid="{D5CDD505-2E9C-101B-9397-08002B2CF9AE}" pid="19" name="Mendeley Recent Style Name 8_1">
    <vt:lpwstr>Developmental Biology</vt:lpwstr>
  </property>
  <property fmtid="{D5CDD505-2E9C-101B-9397-08002B2CF9AE}" pid="20" name="Mendeley Recent Style Id 9_1">
    <vt:lpwstr>http://www.zotero.org/styles/physical-review-e</vt:lpwstr>
  </property>
  <property fmtid="{D5CDD505-2E9C-101B-9397-08002B2CF9AE}" pid="21" name="Mendeley Recent Style Name 9_1">
    <vt:lpwstr>Physical Review E</vt:lpwstr>
  </property>
  <property fmtid="{D5CDD505-2E9C-101B-9397-08002B2CF9AE}" pid="22" name="ZOTERO_PREF_1">
    <vt:lpwstr>&lt;data data-version="3" zotero-version="5.0.97-beta.57+07df7d0de"&gt;&lt;session id="doWJBOtu"/&gt;&lt;style id="http://www.zotero.org/styles/elife" hasBibliography="1" bibliographyStyleHasBeenSet="1"/&gt;&lt;prefs&gt;&lt;pref name="fieldType" value="Field"/&gt;&lt;pref name="automatic</vt:lpwstr>
  </property>
  <property fmtid="{D5CDD505-2E9C-101B-9397-08002B2CF9AE}" pid="23" name="ZOTERO_PREF_2">
    <vt:lpwstr>JournalAbbreviations" value="true"/&gt;&lt;/prefs&gt;&lt;/data&gt;</vt:lpwstr>
  </property>
</Properties>
</file>