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083E" w14:textId="3CC7405A" w:rsidR="00CD12DC" w:rsidRDefault="008B24C3" w:rsidP="006873FA">
      <w:pPr>
        <w:pStyle w:val="Titre1"/>
        <w:suppressLineNumbers/>
        <w:rPr>
          <w:lang w:val="en-US"/>
        </w:rPr>
      </w:pPr>
      <w:r>
        <w:rPr>
          <w:lang w:val="en-US"/>
        </w:rPr>
        <w:t xml:space="preserve">Supplementary File </w:t>
      </w:r>
      <w:r w:rsidR="00EF2729">
        <w:rPr>
          <w:lang w:val="en-US"/>
        </w:rPr>
        <w:t>4</w:t>
      </w:r>
    </w:p>
    <w:p w14:paraId="1EE5B351" w14:textId="77777777" w:rsidR="008B24C3" w:rsidRPr="008B24C3" w:rsidRDefault="008B24C3" w:rsidP="008E1CE4">
      <w:pPr>
        <w:suppressLineNumbers/>
        <w:rPr>
          <w:lang w:val="en-US"/>
        </w:rPr>
      </w:pPr>
    </w:p>
    <w:tbl>
      <w:tblPr>
        <w:tblStyle w:val="Grilledutableau"/>
        <w:tblW w:w="0" w:type="auto"/>
        <w:tblLook w:val="04A0" w:firstRow="1" w:lastRow="0" w:firstColumn="1" w:lastColumn="0" w:noHBand="0" w:noVBand="1"/>
      </w:tblPr>
      <w:tblGrid>
        <w:gridCol w:w="1709"/>
        <w:gridCol w:w="980"/>
        <w:gridCol w:w="4536"/>
        <w:gridCol w:w="1837"/>
      </w:tblGrid>
      <w:tr w:rsidR="00CD12DC" w:rsidRPr="004B5005" w14:paraId="12A05040" w14:textId="55EB6924" w:rsidTr="00B67D24">
        <w:tc>
          <w:tcPr>
            <w:tcW w:w="1709" w:type="dxa"/>
          </w:tcPr>
          <w:p w14:paraId="2F7C18E0" w14:textId="6039F512" w:rsidR="00CD12DC" w:rsidRPr="004B5005" w:rsidRDefault="00CD12DC" w:rsidP="00ED4FFB">
            <w:pPr>
              <w:rPr>
                <w:rFonts w:eastAsiaTheme="minorEastAsia"/>
                <w:bCs/>
                <w:lang w:val="en-US"/>
              </w:rPr>
            </w:pPr>
            <w:r w:rsidRPr="004B5005">
              <w:rPr>
                <w:rFonts w:eastAsiaTheme="minorEastAsia"/>
                <w:bCs/>
                <w:lang w:val="en-US"/>
              </w:rPr>
              <w:t>Parameters</w:t>
            </w:r>
          </w:p>
        </w:tc>
        <w:tc>
          <w:tcPr>
            <w:tcW w:w="980" w:type="dxa"/>
          </w:tcPr>
          <w:p w14:paraId="46D327DC" w14:textId="65A2DD97" w:rsidR="00CD12DC" w:rsidRPr="004B5005" w:rsidRDefault="00CD12DC" w:rsidP="00ED4FFB">
            <w:pPr>
              <w:jc w:val="center"/>
              <w:rPr>
                <w:rFonts w:eastAsiaTheme="minorEastAsia"/>
                <w:bCs/>
                <w:lang w:val="en-US"/>
              </w:rPr>
            </w:pPr>
            <w:r w:rsidRPr="004B5005">
              <w:rPr>
                <w:rFonts w:eastAsiaTheme="minorEastAsia"/>
                <w:bCs/>
                <w:lang w:val="en-US"/>
              </w:rPr>
              <w:t>Value</w:t>
            </w:r>
          </w:p>
        </w:tc>
        <w:tc>
          <w:tcPr>
            <w:tcW w:w="4536" w:type="dxa"/>
          </w:tcPr>
          <w:p w14:paraId="2DACFEA3" w14:textId="599618DE" w:rsidR="00CD12DC" w:rsidRPr="0056317D" w:rsidRDefault="0042758F" w:rsidP="0042758F">
            <w:pPr>
              <w:rPr>
                <w:rFonts w:eastAsiaTheme="minorEastAsia"/>
                <w:bCs/>
                <w:lang w:val="en-US"/>
              </w:rPr>
            </w:pPr>
            <w:r w:rsidRPr="0056317D">
              <w:rPr>
                <w:shd w:val="clear" w:color="auto" w:fill="FFFFFF"/>
                <w:lang w:val="en-US"/>
              </w:rPr>
              <w:t>Measurement method</w:t>
            </w:r>
          </w:p>
        </w:tc>
        <w:tc>
          <w:tcPr>
            <w:tcW w:w="1837" w:type="dxa"/>
          </w:tcPr>
          <w:p w14:paraId="60B17347" w14:textId="6232E797" w:rsidR="00CD12DC" w:rsidRPr="004B5005" w:rsidRDefault="00CD12DC" w:rsidP="00ED4FFB">
            <w:pPr>
              <w:rPr>
                <w:rFonts w:eastAsiaTheme="minorEastAsia"/>
                <w:bCs/>
                <w:lang w:val="en-US"/>
              </w:rPr>
            </w:pPr>
            <w:r w:rsidRPr="004B5005">
              <w:rPr>
                <w:rFonts w:eastAsiaTheme="minorEastAsia"/>
                <w:bCs/>
                <w:lang w:val="en-US"/>
              </w:rPr>
              <w:t>Reference</w:t>
            </w:r>
          </w:p>
        </w:tc>
      </w:tr>
      <w:tr w:rsidR="00CD12DC" w:rsidRPr="004B5005" w14:paraId="693E1DE5" w14:textId="77777777" w:rsidTr="00B67D24">
        <w:tc>
          <w:tcPr>
            <w:tcW w:w="1709" w:type="dxa"/>
            <w:vMerge w:val="restart"/>
          </w:tcPr>
          <w:p w14:paraId="2B33587B" w14:textId="77777777" w:rsidR="00CD12DC" w:rsidRPr="004B5005" w:rsidRDefault="00E84464" w:rsidP="00ED4FFB">
            <w:pPr>
              <w:jc w:val="center"/>
              <w:rPr>
                <w:rFonts w:eastAsiaTheme="minorEastAsia"/>
                <w:bCs/>
                <w:lang w:val="en-US"/>
              </w:rPr>
            </w:pPr>
            <m:oMathPara>
              <m:oMath>
                <m:sSub>
                  <m:sSubPr>
                    <m:ctrlPr>
                      <w:rPr>
                        <w:rFonts w:ascii="Cambria Math" w:eastAsiaTheme="minorEastAsia" w:hAnsi="Cambria Math"/>
                        <w:bCs/>
                        <w:i/>
                        <w:lang w:val="en-US"/>
                      </w:rPr>
                    </m:ctrlPr>
                  </m:sSubPr>
                  <m:e>
                    <m:r>
                      <w:rPr>
                        <w:rFonts w:ascii="Cambria Math" w:eastAsiaTheme="minorEastAsia" w:hAnsi="Cambria Math"/>
                        <w:lang w:val="en-US"/>
                      </w:rPr>
                      <m:t>c</m:t>
                    </m:r>
                  </m:e>
                  <m:sub>
                    <m:r>
                      <w:rPr>
                        <w:rFonts w:ascii="Cambria Math" w:eastAsiaTheme="minorEastAsia" w:hAnsi="Cambria Math"/>
                        <w:lang w:val="en-US"/>
                      </w:rPr>
                      <m:t>A</m:t>
                    </m:r>
                  </m:sub>
                </m:sSub>
              </m:oMath>
            </m:oMathPara>
          </w:p>
          <w:p w14:paraId="6BD6271F" w14:textId="77777777" w:rsidR="00CD12DC" w:rsidRPr="004B5005" w:rsidRDefault="00CD12DC" w:rsidP="00ED4FFB">
            <w:pPr>
              <w:jc w:val="center"/>
              <w:rPr>
                <w:rFonts w:eastAsiaTheme="minorEastAsia"/>
                <w:bCs/>
                <w:lang w:val="en-US"/>
              </w:rPr>
            </w:pPr>
            <w:r w:rsidRPr="004B5005">
              <w:rPr>
                <w:rFonts w:eastAsiaTheme="minorEastAsia"/>
                <w:bCs/>
                <w:lang w:val="en-US"/>
              </w:rPr>
              <w:t>(molecules/</w:t>
            </w:r>
            <w:r w:rsidRPr="004B5005">
              <w:rPr>
                <w:rFonts w:eastAsiaTheme="minorEastAsia" w:cstheme="minorHAnsi"/>
                <w:bCs/>
                <w:lang w:val="en-US"/>
              </w:rPr>
              <w:t>μ</w:t>
            </w:r>
            <w:r w:rsidRPr="004B5005">
              <w:rPr>
                <w:rFonts w:eastAsiaTheme="minorEastAsia"/>
                <w:bCs/>
                <w:lang w:val="en-US"/>
              </w:rPr>
              <w:t>m</w:t>
            </w:r>
            <w:r w:rsidRPr="004B5005">
              <w:rPr>
                <w:rFonts w:eastAsiaTheme="minorEastAsia"/>
                <w:bCs/>
                <w:vertAlign w:val="superscript"/>
                <w:lang w:val="en-US"/>
              </w:rPr>
              <w:t>3</w:t>
            </w:r>
            <w:r w:rsidRPr="004B5005">
              <w:rPr>
                <w:rFonts w:eastAsiaTheme="minorEastAsia"/>
                <w:bCs/>
                <w:lang w:val="en-US"/>
              </w:rPr>
              <w:t>)</w:t>
            </w:r>
          </w:p>
        </w:tc>
        <w:tc>
          <w:tcPr>
            <w:tcW w:w="980" w:type="dxa"/>
            <w:vAlign w:val="center"/>
          </w:tcPr>
          <w:p w14:paraId="11A7B232" w14:textId="77777777" w:rsidR="00CD12DC" w:rsidRPr="004B5005" w:rsidRDefault="00CD12DC" w:rsidP="00ED4FFB">
            <w:pPr>
              <w:jc w:val="center"/>
              <w:rPr>
                <w:rFonts w:eastAsiaTheme="minorEastAsia"/>
                <w:bCs/>
                <w:lang w:val="en-US"/>
              </w:rPr>
            </w:pPr>
            <w:r w:rsidRPr="004B5005">
              <w:rPr>
                <w:rFonts w:eastAsiaTheme="minorEastAsia"/>
                <w:bCs/>
                <w:lang w:val="en-US"/>
              </w:rPr>
              <w:t>~33</w:t>
            </w:r>
          </w:p>
        </w:tc>
        <w:tc>
          <w:tcPr>
            <w:tcW w:w="4536" w:type="dxa"/>
          </w:tcPr>
          <w:p w14:paraId="696BEB39" w14:textId="77777777" w:rsidR="00CD12DC" w:rsidRPr="004B5005" w:rsidRDefault="00CD12DC" w:rsidP="0042758F">
            <w:pPr>
              <w:rPr>
                <w:rFonts w:eastAsiaTheme="minorEastAsia"/>
                <w:bCs/>
                <w:lang w:val="en-US"/>
              </w:rPr>
            </w:pPr>
            <w:r w:rsidRPr="004B5005">
              <w:rPr>
                <w:rFonts w:eastAsiaTheme="minorEastAsia"/>
                <w:bCs/>
                <w:lang w:val="en-US"/>
              </w:rPr>
              <w:t xml:space="preserve">Imaging with </w:t>
            </w:r>
            <w:proofErr w:type="spellStart"/>
            <w:r w:rsidRPr="004B5005">
              <w:rPr>
                <w:rFonts w:eastAsiaTheme="minorEastAsia"/>
                <w:bCs/>
                <w:lang w:val="en-US"/>
              </w:rPr>
              <w:t>Bcd-eGFP</w:t>
            </w:r>
            <w:proofErr w:type="spellEnd"/>
          </w:p>
        </w:tc>
        <w:tc>
          <w:tcPr>
            <w:tcW w:w="1837" w:type="dxa"/>
            <w:vAlign w:val="center"/>
          </w:tcPr>
          <w:p w14:paraId="6C2BD959" w14:textId="3E3D2D1B"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{"citationID":"feW9nd9B","properties":{"formattedCitation":"(Gregor et al., 2007b)","plainCitation":"(Gregor et al., 2007b)","noteIndex":0},"citationItems":[{"id":375,"uris":["http://zotero.org/users/8056494/items/S2AKA6BH"],"uri":["http://zotero.org/users/8056494/items/S2AKA6BH"],"itemData":{"id":375,"type":"article-journal","abstract":"Patterning in multicellular organisms results from spatial gradients in morphogen concentration, but the dynamics of these gradients remain largely unexplored. We characterize, through in vivo optical imaging, the development and stability of the Bicoid morphogen gradient in Drosophila embryos that express a Bicoid-eGFP fusion protein. The gradient is established rapidly (</w:instrText>
            </w:r>
            <w:r w:rsidR="003B0DE7">
              <w:rPr>
                <w:rFonts w:ascii="Cambria Math" w:eastAsiaTheme="minorEastAsia" w:hAnsi="Cambria Math" w:cs="Cambria Math"/>
                <w:bCs/>
                <w:lang w:val="en-US"/>
              </w:rPr>
              <w:instrText>∼</w:instrText>
            </w:r>
            <w:r w:rsidR="003B0DE7">
              <w:rPr>
                <w:rFonts w:eastAsiaTheme="minorEastAsia"/>
                <w:bCs/>
                <w:lang w:val="en-US"/>
              </w:rPr>
              <w:instrText>1 hr after fertilization), with nuclear Bicoid concentration rising and falling during mitosis. Interphase levels result from a rapid equilibrium between Bicoid uptake and removal. Initial interphase concentration in nuclei in successive cycles is constant (±10%), demonstrating a form of gradient stability, but it subsequently decays by approximately 30 %. Both direct photobleaching measurements and indirect estimates of Bicoid-eGFP diffusion constants (D ≤ 1 μm2/s) provide a consistent picture of Bicoid transport on short (</w:instrText>
            </w:r>
            <w:r w:rsidR="003B0DE7">
              <w:rPr>
                <w:rFonts w:ascii="Cambria Math" w:eastAsiaTheme="minorEastAsia" w:hAnsi="Cambria Math" w:cs="Cambria Math"/>
                <w:bCs/>
                <w:lang w:val="en-US"/>
              </w:rPr>
              <w:instrText>∼</w:instrText>
            </w:r>
            <w:r w:rsidR="003B0DE7">
              <w:rPr>
                <w:rFonts w:eastAsiaTheme="minorEastAsia"/>
                <w:bCs/>
                <w:lang w:val="en-US"/>
              </w:rPr>
              <w:instrText xml:space="preserve">min) time scales but challenge traditional models of long-range gradient formation. A new model is presented emphasizing the possible role of nuclear dynamics in shaping and scaling the gradient. © 2007 Elsevier Inc. All rights reserved.","container-title":"Cell","DOI":"10.1016/j.cell.2007.05.026","ISSN":"00928674","issue":"1","note":"PMID: 17632061\nCitation Key: Gregor2007\nISBN: 0092-8674 (Print)","page":"141-152","title":"Stability and nuclear dynamics of the Bicoid morphogen gradient","volume":"130","author":[{"family":"Gregor","given":"Thomas"},{"family":"Wieschaus","given":"Eric"},{"family":"McGregor","given":"Alistair P"},{"family":"Bialek","given":"William"},{"family":"Tank","given":"David W"}],"issued":{"date-parts":[["2007"]]}}}],"schema":"https://github.com/citation-style-language/schema/raw/master/csl-citation.json"}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(Gregor et al., 2007b)</w:t>
            </w:r>
            <w:r w:rsidRPr="004B5005">
              <w:rPr>
                <w:rFonts w:eastAsiaTheme="minorEastAsia"/>
                <w:bCs/>
                <w:lang w:val="en-US"/>
              </w:rPr>
              <w:fldChar w:fldCharType="end"/>
            </w:r>
          </w:p>
        </w:tc>
      </w:tr>
      <w:tr w:rsidR="00CD12DC" w:rsidRPr="004B5005" w14:paraId="61EE253B" w14:textId="77777777" w:rsidTr="00B67D24">
        <w:tc>
          <w:tcPr>
            <w:tcW w:w="1709" w:type="dxa"/>
            <w:vMerge/>
          </w:tcPr>
          <w:p w14:paraId="0F0DD00F" w14:textId="77777777" w:rsidR="00CD12DC" w:rsidRPr="004B5005" w:rsidRDefault="00CD12DC" w:rsidP="00ED4FFB">
            <w:pPr>
              <w:jc w:val="center"/>
              <w:rPr>
                <w:rFonts w:ascii="Calibri" w:eastAsia="Times New Roman" w:hAnsi="Calibri" w:cs="Times New Roman"/>
                <w:bCs/>
                <w:lang w:val="en-US"/>
              </w:rPr>
            </w:pPr>
          </w:p>
        </w:tc>
        <w:tc>
          <w:tcPr>
            <w:tcW w:w="980" w:type="dxa"/>
            <w:vAlign w:val="center"/>
          </w:tcPr>
          <w:p w14:paraId="1FF37836" w14:textId="77777777" w:rsidR="00CD12DC" w:rsidRPr="004B5005" w:rsidRDefault="00CD12DC" w:rsidP="00ED4FFB">
            <w:pPr>
              <w:jc w:val="center"/>
              <w:rPr>
                <w:rFonts w:eastAsiaTheme="minorEastAsia"/>
                <w:bCs/>
                <w:lang w:val="en-US"/>
              </w:rPr>
            </w:pPr>
            <w:r w:rsidRPr="004B5005">
              <w:rPr>
                <w:rFonts w:eastAsiaTheme="minorEastAsia"/>
                <w:bCs/>
                <w:lang w:val="en-US"/>
              </w:rPr>
              <w:t>~84</w:t>
            </w:r>
          </w:p>
        </w:tc>
        <w:tc>
          <w:tcPr>
            <w:tcW w:w="4536" w:type="dxa"/>
          </w:tcPr>
          <w:p w14:paraId="5A578243" w14:textId="77777777" w:rsidR="00CD12DC" w:rsidRPr="004B5005" w:rsidRDefault="00CD12DC" w:rsidP="0042758F">
            <w:pPr>
              <w:rPr>
                <w:rFonts w:eastAsiaTheme="minorEastAsia"/>
                <w:bCs/>
                <w:lang w:val="en-US"/>
              </w:rPr>
            </w:pPr>
            <w:r w:rsidRPr="004B5005">
              <w:rPr>
                <w:rFonts w:eastAsiaTheme="minorEastAsia"/>
                <w:bCs/>
                <w:lang w:val="en-US"/>
              </w:rPr>
              <w:t xml:space="preserve">Extract using </w:t>
            </w:r>
            <w:proofErr w:type="spellStart"/>
            <w:r w:rsidRPr="004B5005">
              <w:rPr>
                <w:rFonts w:eastAsiaTheme="minorEastAsia"/>
                <w:bCs/>
                <w:lang w:val="en-US"/>
              </w:rPr>
              <w:t>Bcd-eGFP</w:t>
            </w:r>
            <w:proofErr w:type="spellEnd"/>
            <w:r w:rsidRPr="004B5005">
              <w:rPr>
                <w:rFonts w:eastAsiaTheme="minorEastAsia"/>
                <w:bCs/>
                <w:lang w:val="en-US"/>
              </w:rPr>
              <w:t xml:space="preserve"> imaging and FCS</w:t>
            </w:r>
          </w:p>
        </w:tc>
        <w:tc>
          <w:tcPr>
            <w:tcW w:w="1837" w:type="dxa"/>
            <w:vAlign w:val="center"/>
          </w:tcPr>
          <w:p w14:paraId="6A2D2B97" w14:textId="674D4FE1"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{"citationID":"yYhDjVcz","properties":{"formattedCitation":"(Abu-Arish et al., 2010)","plainCitation":"(Abu-Arish et al., 2010)","noteIndex":0},"citationItems":[{"id":708,"uris":["http://zotero.org/users/8056494/items/D3ZVS26S"],"uri":["http://zotero.org/users/8056494/items/D3ZVS26S"],"itemData":{"id":708,"type":"article-journal","abstract":"The Bicoid (Bcd) morphogen is essential for pattern formation in fruit flies. It forms an exponential concentration gradient along the embryo AP axis and turns on cascades of target genes in distinct anterior domains. The most commonly accepted model for gradient formation assumes that Bcd travels by simple diffusion and is uniformly degraded across syncytial embryos, yet several recent studies have challenged these ideas. Here, the question of Bcd mobility was investigated using fluorescence correlation spectroscopy in live Drosophila melanogaster embryos. Bcd-EGFP molecules were found to be highly mobile in the cytoplasm during cycles 12-14, with a diffusion coefficient ???7 ??m 2/s. This value is large enough to explain the stable establishment of the Bcd gradient simply by diffusion before cycle 8, i.e., before the onset of zygotic transcription. ?? 2010 by the Biophysical Society.","container-title":"Biophysical Journal","DOI":"10.1016/j.bpj.2010.05.031","ISSN":"00063495","issue":"4","note":"PMID: 20712981\nCitation Key: Abu-Arish2010\nISBN: 0006-3495","page":"33-35","title":"High mobility of Bicoid captured by fluorescence correlation spectroscopy: Implication for the rapid establishment of its gradient","volume":"99","author":[{"family":"Abu-Arish","given":"Asmahan"},{"family":"Porcher","given":"Aude"},{"family":"Czerwonka","given":"Anna"},{"family":"Dostatni","given":"Nathalie"},{"family":"Fradin","given":"Cecile"}],"issued":{"date-parts":[["2010"]]}}}],"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(Abu-Arish et al., 2010)</w:t>
            </w:r>
            <w:r w:rsidRPr="004B5005">
              <w:rPr>
                <w:rFonts w:eastAsiaTheme="minorEastAsia"/>
                <w:bCs/>
                <w:lang w:val="en-US"/>
              </w:rPr>
              <w:fldChar w:fldCharType="end"/>
            </w:r>
          </w:p>
        </w:tc>
      </w:tr>
      <w:tr w:rsidR="00CD12DC" w:rsidRPr="004B5005" w14:paraId="182E7621" w14:textId="77777777" w:rsidTr="00B67D24">
        <w:tc>
          <w:tcPr>
            <w:tcW w:w="1709" w:type="dxa"/>
            <w:vMerge/>
          </w:tcPr>
          <w:p w14:paraId="08173F6C" w14:textId="77777777" w:rsidR="00CD12DC" w:rsidRPr="004B5005" w:rsidRDefault="00CD12DC" w:rsidP="00ED4FFB">
            <w:pPr>
              <w:jc w:val="center"/>
              <w:rPr>
                <w:rFonts w:ascii="Calibri" w:eastAsia="Times New Roman" w:hAnsi="Calibri" w:cs="Times New Roman"/>
                <w:bCs/>
                <w:lang w:val="en-US"/>
              </w:rPr>
            </w:pPr>
          </w:p>
        </w:tc>
        <w:tc>
          <w:tcPr>
            <w:tcW w:w="980" w:type="dxa"/>
            <w:vAlign w:val="center"/>
          </w:tcPr>
          <w:p w14:paraId="7EE8D6CA" w14:textId="77777777" w:rsidR="00CD12DC" w:rsidRPr="004B5005" w:rsidRDefault="00CD12DC" w:rsidP="00ED4FFB">
            <w:pPr>
              <w:jc w:val="center"/>
              <w:rPr>
                <w:rFonts w:eastAsiaTheme="minorEastAsia"/>
                <w:bCs/>
                <w:lang w:val="en-US"/>
              </w:rPr>
            </w:pPr>
            <w:r w:rsidRPr="004B5005">
              <w:rPr>
                <w:rFonts w:eastAsiaTheme="minorEastAsia"/>
                <w:bCs/>
                <w:lang w:val="en-US"/>
              </w:rPr>
              <w:t>~210</w:t>
            </w:r>
          </w:p>
        </w:tc>
        <w:tc>
          <w:tcPr>
            <w:tcW w:w="4536" w:type="dxa"/>
          </w:tcPr>
          <w:p w14:paraId="45850B4D" w14:textId="77777777" w:rsidR="00CD12DC" w:rsidRPr="004B5005" w:rsidRDefault="00CD12DC" w:rsidP="0042758F">
            <w:pPr>
              <w:rPr>
                <w:rFonts w:eastAsiaTheme="minorEastAsia"/>
                <w:bCs/>
                <w:lang w:val="en-US"/>
              </w:rPr>
            </w:pPr>
            <w:r w:rsidRPr="004B5005">
              <w:rPr>
                <w:rFonts w:eastAsiaTheme="minorEastAsia"/>
                <w:bCs/>
                <w:lang w:val="en-US"/>
              </w:rPr>
              <w:t xml:space="preserve">Comparison between immunostaining and imaging of </w:t>
            </w:r>
            <w:proofErr w:type="spellStart"/>
            <w:r w:rsidRPr="004B5005">
              <w:rPr>
                <w:rFonts w:eastAsiaTheme="minorEastAsia"/>
                <w:bCs/>
                <w:lang w:val="en-US"/>
              </w:rPr>
              <w:t>Bcd-eGFP</w:t>
            </w:r>
            <w:proofErr w:type="spellEnd"/>
            <w:r w:rsidRPr="004B5005">
              <w:rPr>
                <w:rFonts w:eastAsiaTheme="minorEastAsia"/>
                <w:bCs/>
                <w:lang w:val="en-US"/>
              </w:rPr>
              <w:t xml:space="preserve"> reveals ~ </w:t>
            </w:r>
            <w:proofErr w:type="gramStart"/>
            <w:r w:rsidRPr="004B5005">
              <w:rPr>
                <w:rFonts w:eastAsiaTheme="minorEastAsia"/>
                <w:bCs/>
                <w:lang w:val="en-US"/>
              </w:rPr>
              <w:t>2.5 time</w:t>
            </w:r>
            <w:proofErr w:type="gramEnd"/>
            <w:r w:rsidRPr="004B5005">
              <w:rPr>
                <w:rFonts w:eastAsiaTheme="minorEastAsia"/>
                <w:bCs/>
                <w:lang w:val="en-US"/>
              </w:rPr>
              <w:t xml:space="preserve"> underestimation of </w:t>
            </w:r>
            <w:proofErr w:type="spellStart"/>
            <w:r w:rsidRPr="004B5005">
              <w:rPr>
                <w:rFonts w:eastAsiaTheme="minorEastAsia"/>
                <w:bCs/>
                <w:lang w:val="en-US"/>
              </w:rPr>
              <w:t>Bcd</w:t>
            </w:r>
            <w:proofErr w:type="spellEnd"/>
            <w:r w:rsidRPr="004B5005">
              <w:rPr>
                <w:rFonts w:eastAsiaTheme="minorEastAsia"/>
                <w:bCs/>
                <w:lang w:val="en-US"/>
              </w:rPr>
              <w:t xml:space="preserve"> concentration</w:t>
            </w:r>
          </w:p>
        </w:tc>
        <w:tc>
          <w:tcPr>
            <w:tcW w:w="1837" w:type="dxa"/>
            <w:vAlign w:val="center"/>
          </w:tcPr>
          <w:p w14:paraId="1C0F75FF" w14:textId="111C18B1"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{"citationID":"NIv6ut2K","properties":{"formattedCitation":"(Liu et al., 2013)","plainCitation":"(Liu et al., 2013)","noteIndex":0},"citationItems":[{"id":782,"uris":["http://zotero.org/users/8056494/items/BDL85JGX"],"uri":["http://zotero.org/users/8056494/items/BDL85JGX"],"itemData":{"id":782,"type":"article-journal","abstract":"Patterning of body parts in multicellular organisms relies on the interpretation of transcription factor (TF) concentrations by genetic networks. To determine the extent by which absolute TF concentration dictates gene expression and morphogenesis programs that ultimately lead to patterns in Drosophila embryos, we manipulate maternally supplied patterning determinants and measure readout concentration at the position of various developmental markers. When we increase the overall amount of the maternal TF Bicoid (Bcd) fivefold, Bcd concentrations in cells at positions of the cephalic furrow, an early morphological marker, differ by a factor of 2. This finding apparently contradicts the traditional threshold-dependent readout model, which predicts that the Bcd concentrations at these positions should be identical. In contrast, Bcd concentration at target gene expression boundaries is nearly unchanged early in development but adjusts dynamically toward the same twofold change as development progresses. Thus, the Drosophila segmentation gene network responds faithfully to Bcd concentration during early development, in agreement with the threshold model, but subsequently partially adapts in response to altered Bcd dosage, driving segmentation patterns toward their WT positions. This dynamic response requires other maternal regulators, such as Torso and Nanos, suggesting that integration of maternal input information is not achieved through molecular interactions at the time of readout but through the subsequent collective interplay of the network.","container-title":"Proceedings of the National Academy of Sciences","DOI":"10.1073/pnas.1220912110","ISSN":"0027-8424","issue":"17","note":"PMID: 23580621\nCitation Key: Liu2013\nISBN: 1215421109","page":"6724-6729","title":"Dynamic interpretation of maternal inputs by the Drosophila segmentation gene network","volume":"110","author":[{"family":"Liu","given":"F."},{"family":"Morrison","given":"A. H."},{"family":"Gregor","given":"T."}],"issued":{"date-parts":[["2013"]]}}}],"schema":"https://github.com/citation-style-language/schema/raw/master/csl-citation.json"}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(Liu et al., 2013)</w:t>
            </w:r>
            <w:r w:rsidRPr="004B5005">
              <w:rPr>
                <w:rFonts w:eastAsiaTheme="minorEastAsia"/>
                <w:bCs/>
                <w:lang w:val="en-US"/>
              </w:rPr>
              <w:fldChar w:fldCharType="end"/>
            </w:r>
          </w:p>
        </w:tc>
      </w:tr>
      <w:tr w:rsidR="00CD12DC" w:rsidRPr="004B5005" w14:paraId="2E5E64C9" w14:textId="77777777" w:rsidTr="00B67D24">
        <w:tc>
          <w:tcPr>
            <w:tcW w:w="1709" w:type="dxa"/>
            <w:vMerge w:val="restart"/>
          </w:tcPr>
          <w:p w14:paraId="49769632" w14:textId="77777777" w:rsidR="00CD12DC" w:rsidRPr="004B5005" w:rsidRDefault="00CD12DC" w:rsidP="00ED4FFB">
            <w:pPr>
              <w:jc w:val="center"/>
              <w:rPr>
                <w:rFonts w:eastAsiaTheme="minorEastAsia"/>
                <w:bCs/>
                <w:lang w:val="en-US"/>
              </w:rPr>
            </w:pPr>
            <m:oMathPara>
              <m:oMath>
                <m:r>
                  <w:rPr>
                    <w:rFonts w:ascii="Cambria Math" w:eastAsiaTheme="minorEastAsia" w:hAnsi="Cambria Math"/>
                    <w:lang w:val="en-US"/>
                  </w:rPr>
                  <m:t>D</m:t>
                </m:r>
              </m:oMath>
            </m:oMathPara>
          </w:p>
          <w:p w14:paraId="656CDD92" w14:textId="77777777" w:rsidR="00CD12DC" w:rsidRPr="004B5005" w:rsidRDefault="00CD12DC" w:rsidP="00ED4FFB">
            <w:pPr>
              <w:jc w:val="center"/>
              <w:rPr>
                <w:rFonts w:eastAsiaTheme="minorEastAsia"/>
                <w:bCs/>
                <w:lang w:val="en-US"/>
              </w:rPr>
            </w:pPr>
            <w:r w:rsidRPr="004B5005">
              <w:rPr>
                <w:rFonts w:eastAsiaTheme="minorEastAsia"/>
                <w:bCs/>
                <w:lang w:val="en-US"/>
              </w:rPr>
              <w:t>(</w:t>
            </w:r>
            <w:r w:rsidRPr="004B5005">
              <w:rPr>
                <w:rFonts w:eastAsiaTheme="minorEastAsia" w:cstheme="minorHAnsi"/>
                <w:bCs/>
                <w:lang w:val="en-US"/>
              </w:rPr>
              <w:t>μ</w:t>
            </w:r>
            <w:r w:rsidRPr="004B5005">
              <w:rPr>
                <w:rFonts w:eastAsiaTheme="minorEastAsia"/>
                <w:bCs/>
                <w:lang w:val="en-US"/>
              </w:rPr>
              <w:t>m</w:t>
            </w:r>
            <w:r w:rsidRPr="004B5005">
              <w:rPr>
                <w:rFonts w:eastAsiaTheme="minorEastAsia"/>
                <w:bCs/>
                <w:vertAlign w:val="superscript"/>
                <w:lang w:val="en-US"/>
              </w:rPr>
              <w:t>2</w:t>
            </w:r>
            <w:r w:rsidRPr="004B5005">
              <w:rPr>
                <w:rFonts w:eastAsiaTheme="minorEastAsia"/>
                <w:bCs/>
                <w:lang w:val="en-US"/>
              </w:rPr>
              <w:t>/s)</w:t>
            </w:r>
          </w:p>
        </w:tc>
        <w:tc>
          <w:tcPr>
            <w:tcW w:w="980" w:type="dxa"/>
            <w:vAlign w:val="center"/>
          </w:tcPr>
          <w:p w14:paraId="1C7D08FA" w14:textId="77777777" w:rsidR="00CD12DC" w:rsidRPr="004B5005" w:rsidRDefault="00CD12DC" w:rsidP="00ED4FFB">
            <w:pPr>
              <w:jc w:val="center"/>
              <w:rPr>
                <w:rFonts w:eastAsiaTheme="minorEastAsia"/>
                <w:bCs/>
                <w:lang w:val="en-US"/>
              </w:rPr>
            </w:pPr>
            <w:r w:rsidRPr="004B5005">
              <w:rPr>
                <w:rFonts w:eastAsiaTheme="minorEastAsia"/>
                <w:bCs/>
                <w:lang w:val="en-US"/>
              </w:rPr>
              <w:t xml:space="preserve">&lt;1 </w:t>
            </w:r>
          </w:p>
        </w:tc>
        <w:tc>
          <w:tcPr>
            <w:tcW w:w="4536" w:type="dxa"/>
          </w:tcPr>
          <w:p w14:paraId="03CE179F" w14:textId="77777777" w:rsidR="00CD12DC" w:rsidRPr="004B5005" w:rsidRDefault="00CD12DC" w:rsidP="0042758F">
            <w:pPr>
              <w:rPr>
                <w:rFonts w:eastAsiaTheme="minorEastAsia"/>
                <w:bCs/>
                <w:lang w:val="en-US"/>
              </w:rPr>
            </w:pPr>
            <w:r w:rsidRPr="004B5005">
              <w:rPr>
                <w:rFonts w:eastAsiaTheme="minorEastAsia"/>
                <w:bCs/>
                <w:lang w:val="en-US"/>
              </w:rPr>
              <w:t xml:space="preserve">Imaging with </w:t>
            </w:r>
            <w:proofErr w:type="spellStart"/>
            <w:r w:rsidRPr="004B5005">
              <w:rPr>
                <w:rFonts w:eastAsiaTheme="minorEastAsia"/>
                <w:bCs/>
                <w:lang w:val="en-US"/>
              </w:rPr>
              <w:t>Bcd-eGFP</w:t>
            </w:r>
            <w:proofErr w:type="spellEnd"/>
            <w:r w:rsidRPr="004B5005">
              <w:rPr>
                <w:rFonts w:eastAsiaTheme="minorEastAsia"/>
                <w:bCs/>
                <w:lang w:val="en-US"/>
              </w:rPr>
              <w:t xml:space="preserve"> using FRAP</w:t>
            </w:r>
          </w:p>
        </w:tc>
        <w:tc>
          <w:tcPr>
            <w:tcW w:w="1837" w:type="dxa"/>
            <w:vAlign w:val="center"/>
          </w:tcPr>
          <w:p w14:paraId="146CD61A" w14:textId="6388B588"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{"citationID":"3JnItp9A","properties":{"formattedCitation":"(Gregor et al., 2007a)","plainCitation":"(Gregor et al., 2007a)","noteIndex":0},"citationItems":[{"id":380,"uris":["http://zotero.org/users/8056494/items/GBNW6EQY"],"uri":["http://zotero.org/users/8056494/items/GBNW6EQY"],"itemData":{"id":380,"type":"article-journal","abstract":"The reproducibility and precision of biological patterning is limited by the accuracy with which concentration profiles of morphogen molecules can be established and read out by their targets. We consider four measures of precision for the Bicoid morphogen in the Drosophila embryo: the concentration differences that distinguish neighboring cells, the limits set by the random arrival of Bicoid molecules at their targets (which depends on absolute concentration), the noise in readout of Bicoid by the activation of Hunchback, and the reproducibility of Bicoid concentration at corresponding positions in multiple embryos. We show, through a combination of different experiments, that all of these quantities are </w:instrText>
            </w:r>
            <w:r w:rsidR="003B0DE7">
              <w:rPr>
                <w:rFonts w:ascii="Cambria Math" w:eastAsiaTheme="minorEastAsia" w:hAnsi="Cambria Math" w:cs="Cambria Math"/>
                <w:bCs/>
                <w:lang w:val="en-US"/>
              </w:rPr>
              <w:instrText>∼</w:instrText>
            </w:r>
            <w:r w:rsidR="003B0DE7">
              <w:rPr>
                <w:rFonts w:eastAsiaTheme="minorEastAsia"/>
                <w:bCs/>
                <w:lang w:val="en-US"/>
              </w:rPr>
              <w:instrText xml:space="preserve">10%. This agreement among different measures of accuracy indicates that the embryo is not faced with noisy input signals and readout mechanisms; rather, the system exerts precise control over absolute concentrations and responds reliably to small concentration differences, approaching the limits set by basic physical principles. © 2007 Elsevier Inc. All rights reserved.","container-title":"Cell","DOI":"10.1016/j.cell.2007.05.025","ISSN":"00928674","issue":"1","note":"PMID: 17632062\nCitation Key: Gregor2007a\nISBN: 0092-8674 (Print)\\r0092-8674 (Linking)","page":"153-164","title":"Probing the limits to positional information","volume":"130","author":[{"family":"Gregor","given":"Thomas"},{"family":"Tank","given":"David W."},{"family":"Wieschaus","given":"Eric"},{"family":"Bialek","given":"William"}],"issued":{"date-parts":[["2007"]]}}}],"schema":"https://github.com/citation-style-language/schema/raw/master/csl-citation.json"}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(Gregor et al., 2007a)</w:t>
            </w:r>
            <w:r w:rsidRPr="004B5005">
              <w:rPr>
                <w:rFonts w:eastAsiaTheme="minorEastAsia"/>
                <w:bCs/>
                <w:lang w:val="en-US"/>
              </w:rPr>
              <w:fldChar w:fldCharType="end"/>
            </w:r>
          </w:p>
        </w:tc>
      </w:tr>
      <w:tr w:rsidR="00CD12DC" w:rsidRPr="004B5005" w14:paraId="4162EAF6" w14:textId="77777777" w:rsidTr="00B67D24">
        <w:tc>
          <w:tcPr>
            <w:tcW w:w="1709" w:type="dxa"/>
            <w:vMerge/>
          </w:tcPr>
          <w:p w14:paraId="764D357A" w14:textId="77777777" w:rsidR="00CD12DC" w:rsidRPr="004B5005" w:rsidRDefault="00CD12DC" w:rsidP="00ED4FFB">
            <w:pPr>
              <w:jc w:val="center"/>
              <w:rPr>
                <w:rFonts w:ascii="Calibri" w:eastAsia="Times New Roman" w:hAnsi="Calibri" w:cs="Times New Roman"/>
                <w:bCs/>
                <w:lang w:val="en-US"/>
              </w:rPr>
            </w:pPr>
          </w:p>
        </w:tc>
        <w:tc>
          <w:tcPr>
            <w:tcW w:w="980" w:type="dxa"/>
            <w:vAlign w:val="center"/>
          </w:tcPr>
          <w:p w14:paraId="0B098DF2" w14:textId="77777777" w:rsidR="00CD12DC" w:rsidRPr="004B5005" w:rsidRDefault="00CD12DC" w:rsidP="00ED4FFB">
            <w:pPr>
              <w:jc w:val="center"/>
              <w:rPr>
                <w:rFonts w:eastAsiaTheme="minorEastAsia"/>
                <w:bCs/>
                <w:lang w:val="en-US"/>
              </w:rPr>
            </w:pPr>
            <w:r w:rsidRPr="004B5005">
              <w:rPr>
                <w:rFonts w:eastAsiaTheme="minorEastAsia"/>
                <w:bCs/>
                <w:lang w:val="en-US"/>
              </w:rPr>
              <w:t>~7.4</w:t>
            </w:r>
          </w:p>
        </w:tc>
        <w:tc>
          <w:tcPr>
            <w:tcW w:w="4536" w:type="dxa"/>
          </w:tcPr>
          <w:p w14:paraId="089743E0" w14:textId="77777777" w:rsidR="00CD12DC" w:rsidRPr="004B5005" w:rsidRDefault="00CD12DC" w:rsidP="0042758F">
            <w:pPr>
              <w:rPr>
                <w:rFonts w:eastAsiaTheme="minorEastAsia"/>
                <w:bCs/>
                <w:lang w:val="en-US"/>
              </w:rPr>
            </w:pPr>
            <w:r w:rsidRPr="004B5005">
              <w:rPr>
                <w:rFonts w:eastAsiaTheme="minorEastAsia"/>
                <w:bCs/>
                <w:lang w:val="en-US"/>
              </w:rPr>
              <w:t xml:space="preserve">Diffusion coefficient </w:t>
            </w:r>
            <w:r>
              <w:rPr>
                <w:rFonts w:eastAsiaTheme="minorEastAsia"/>
                <w:bCs/>
                <w:lang w:val="en-US"/>
              </w:rPr>
              <w:t>of</w:t>
            </w:r>
            <w:r w:rsidRPr="004B5005">
              <w:rPr>
                <w:rFonts w:eastAsiaTheme="minorEastAsia"/>
                <w:bCs/>
                <w:lang w:val="en-US"/>
              </w:rPr>
              <w:t xml:space="preserve"> fast</w:t>
            </w:r>
            <w:r>
              <w:rPr>
                <w:rFonts w:eastAsiaTheme="minorEastAsia"/>
                <w:bCs/>
                <w:lang w:val="en-US"/>
              </w:rPr>
              <w:t>-</w:t>
            </w:r>
            <w:r w:rsidRPr="004B5005">
              <w:rPr>
                <w:rFonts w:eastAsiaTheme="minorEastAsia"/>
                <w:bCs/>
                <w:lang w:val="en-US"/>
              </w:rPr>
              <w:t xml:space="preserve">diffusing </w:t>
            </w:r>
            <w:proofErr w:type="spellStart"/>
            <w:r w:rsidRPr="004B5005">
              <w:rPr>
                <w:rFonts w:eastAsiaTheme="minorEastAsia"/>
                <w:bCs/>
                <w:lang w:val="en-US"/>
              </w:rPr>
              <w:t>Bcd</w:t>
            </w:r>
            <w:proofErr w:type="spellEnd"/>
            <w:r w:rsidRPr="004B5005">
              <w:rPr>
                <w:rFonts w:eastAsiaTheme="minorEastAsia"/>
                <w:bCs/>
                <w:lang w:val="en-US"/>
              </w:rPr>
              <w:t xml:space="preserve"> </w:t>
            </w:r>
            <w:r>
              <w:rPr>
                <w:rFonts w:eastAsiaTheme="minorEastAsia"/>
                <w:bCs/>
                <w:lang w:val="en-US"/>
              </w:rPr>
              <w:t>population</w:t>
            </w:r>
            <w:r w:rsidRPr="004B5005">
              <w:rPr>
                <w:rFonts w:eastAsiaTheme="minorEastAsia"/>
                <w:bCs/>
                <w:lang w:val="en-US"/>
              </w:rPr>
              <w:t>, extract</w:t>
            </w:r>
            <w:r>
              <w:rPr>
                <w:rFonts w:eastAsiaTheme="minorEastAsia"/>
                <w:bCs/>
                <w:lang w:val="en-US"/>
              </w:rPr>
              <w:t>ed</w:t>
            </w:r>
            <w:r w:rsidRPr="004B5005">
              <w:rPr>
                <w:rFonts w:eastAsiaTheme="minorEastAsia"/>
                <w:bCs/>
                <w:lang w:val="en-US"/>
              </w:rPr>
              <w:t xml:space="preserve"> using FCS and </w:t>
            </w:r>
            <w:proofErr w:type="spellStart"/>
            <w:r w:rsidRPr="004B5005">
              <w:rPr>
                <w:rFonts w:eastAsiaTheme="minorEastAsia"/>
                <w:bCs/>
                <w:lang w:val="en-US"/>
              </w:rPr>
              <w:t>Bcd-eGFP</w:t>
            </w:r>
            <w:proofErr w:type="spellEnd"/>
          </w:p>
        </w:tc>
        <w:tc>
          <w:tcPr>
            <w:tcW w:w="1837" w:type="dxa"/>
            <w:vAlign w:val="center"/>
          </w:tcPr>
          <w:p w14:paraId="2E139C60" w14:textId="56FDFD7B"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{"citationID":"YV6NXluk","properties":{"formattedCitation":"(Abu-Arish et al., 2010)","plainCitation":"(Abu-Arish et al., 2010)","noteIndex":0},"citationItems":[{"id":708,"uris":["http://zotero.org/users/8056494/items/D3ZVS26S"],"uri":["http://zotero.org/users/8056494/items/D3ZVS26S"],"itemData":{"id":708,"type":"article-journal","abstract":"The Bicoid (Bcd) morphogen is essential for pattern formation in fruit flies. It forms an exponential concentration gradient along the embryo AP axis and turns on cascades of target genes in distinct anterior domains. The most commonly accepted model for gradient formation assumes that Bcd travels by simple diffusion and is uniformly degraded across syncytial embryos, yet several recent studies have challenged these ideas. Here, the question of Bcd mobility was investigated using fluorescence correlation spectroscopy in live Drosophila melanogaster embryos. Bcd-EGFP molecules were found to be highly mobile in the cytoplasm during cycles 12-14, with a diffusion coefficient ???7 ??m 2/s. This value is large enough to explain the stable establishment of the Bcd gradient simply by diffusion before cycle 8, i.e., before the onset of zygotic transcription. ?? 2010 by the Biophysical Society.","container-title":"Biophysical Journal","DOI":"10.1016/j.bpj.2010.05.031","ISSN":"00063495","issue":"4","note":"PMID: 20712981\nCitation Key: Abu-Arish2010\nISBN: 0006-3495","page":"33-35","title":"High mobility of Bicoid captured by fluorescence correlation spectroscopy: Implication for the rapid establishment of its gradient","volume":"99","author":[{"family":"Abu-Arish","given":"Asmahan"},{"family":"Porcher","given":"Aude"},{"family":"Czerwonka","given":"Anna"},{"family":"Dostatni","given":"Nathalie"},{"family":"Fradin","given":"Cecile"}],"issued":{"date-parts":[["2010"]]}}}],"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(Abu-Arish et al., 2010)</w:t>
            </w:r>
            <w:r w:rsidRPr="004B5005">
              <w:rPr>
                <w:rFonts w:eastAsiaTheme="minorEastAsia"/>
                <w:bCs/>
                <w:lang w:val="en-US"/>
              </w:rPr>
              <w:fldChar w:fldCharType="end"/>
            </w:r>
          </w:p>
        </w:tc>
      </w:tr>
      <w:tr w:rsidR="00CD12DC" w:rsidRPr="004B5005" w14:paraId="2831A19E" w14:textId="77777777" w:rsidTr="00B67D24">
        <w:tc>
          <w:tcPr>
            <w:tcW w:w="1709" w:type="dxa"/>
            <w:vMerge/>
          </w:tcPr>
          <w:p w14:paraId="0ADCC247" w14:textId="77777777" w:rsidR="00CD12DC" w:rsidRPr="004B5005" w:rsidRDefault="00CD12DC" w:rsidP="00ED4FFB">
            <w:pPr>
              <w:jc w:val="center"/>
              <w:rPr>
                <w:rFonts w:ascii="Calibri" w:eastAsia="Times New Roman" w:hAnsi="Calibri" w:cs="Times New Roman"/>
                <w:bCs/>
                <w:lang w:val="en-US"/>
              </w:rPr>
            </w:pPr>
          </w:p>
        </w:tc>
        <w:tc>
          <w:tcPr>
            <w:tcW w:w="980" w:type="dxa"/>
            <w:vAlign w:val="center"/>
          </w:tcPr>
          <w:p w14:paraId="5215C847" w14:textId="77777777" w:rsidR="00CD12DC" w:rsidRPr="004B5005" w:rsidRDefault="00CD12DC" w:rsidP="00ED4FFB">
            <w:pPr>
              <w:jc w:val="center"/>
              <w:rPr>
                <w:rFonts w:eastAsiaTheme="minorEastAsia"/>
                <w:bCs/>
                <w:lang w:val="en-US"/>
              </w:rPr>
            </w:pPr>
            <w:r w:rsidRPr="004B5005">
              <w:rPr>
                <w:rFonts w:eastAsiaTheme="minorEastAsia"/>
                <w:bCs/>
                <w:lang w:val="en-US"/>
              </w:rPr>
              <w:t>~4.6</w:t>
            </w:r>
          </w:p>
        </w:tc>
        <w:tc>
          <w:tcPr>
            <w:tcW w:w="4536" w:type="dxa"/>
          </w:tcPr>
          <w:p w14:paraId="28B12542" w14:textId="77777777" w:rsidR="00CD12DC" w:rsidRPr="004B5005" w:rsidRDefault="00CD12DC" w:rsidP="0042758F">
            <w:pPr>
              <w:rPr>
                <w:rFonts w:eastAsiaTheme="minorEastAsia"/>
                <w:bCs/>
                <w:lang w:val="en-US"/>
              </w:rPr>
            </w:pPr>
            <w:r w:rsidRPr="004B5005">
              <w:rPr>
                <w:rFonts w:eastAsiaTheme="minorEastAsia"/>
                <w:bCs/>
                <w:lang w:val="en-US"/>
              </w:rPr>
              <w:t xml:space="preserve">Average diffusion coefficient, extract using FCS and </w:t>
            </w:r>
            <w:proofErr w:type="spellStart"/>
            <w:r w:rsidRPr="004B5005">
              <w:rPr>
                <w:rFonts w:eastAsiaTheme="minorEastAsia"/>
                <w:bCs/>
                <w:lang w:val="en-US"/>
              </w:rPr>
              <w:t>Bcd-eGFP</w:t>
            </w:r>
            <w:proofErr w:type="spellEnd"/>
          </w:p>
        </w:tc>
        <w:tc>
          <w:tcPr>
            <w:tcW w:w="1837" w:type="dxa"/>
            <w:vAlign w:val="center"/>
          </w:tcPr>
          <w:p w14:paraId="2EEF2A2C" w14:textId="55FA7D99" w:rsidR="00CD12DC" w:rsidRPr="004B5005" w:rsidRDefault="00CD12DC" w:rsidP="00ED4FFB">
            <w:pPr>
              <w:rPr>
                <w:rFonts w:eastAsiaTheme="minorEastAsia"/>
                <w:bCs/>
                <w:lang w:val="en-US"/>
              </w:rPr>
            </w:pPr>
            <w:r w:rsidRPr="004B5005">
              <w:rPr>
                <w:rFonts w:eastAsiaTheme="minorEastAsia"/>
                <w:bCs/>
                <w:lang w:val="en-US"/>
              </w:rPr>
              <w:fldChar w:fldCharType="begin"/>
            </w:r>
            <w:r w:rsidR="003B0DE7">
              <w:rPr>
                <w:rFonts w:eastAsiaTheme="minorEastAsia"/>
                <w:bCs/>
                <w:lang w:val="en-US"/>
              </w:rPr>
              <w:instrText xml:space="preserve"> ADDIN ZOTERO_ITEM CSL_CITATION {"citationID":"jR5nLTKK","properties":{"formattedCitation":"(Abu-Arish et al., 2010)","plainCitation":"(Abu-Arish et al., 2010)","noteIndex":0},"citationItems":[{"id":708,"uris":["http://zotero.org/users/8056494/items/D3ZVS26S"],"uri":["http://zotero.org/users/8056494/items/D3ZVS26S"],"itemData":{"id":708,"type":"article-journal","abstract":"The Bicoid (Bcd) morphogen is essential for pattern formation in fruit flies. It forms an exponential concentration gradient along the embryo AP axis and turns on cascades of target genes in distinct anterior domains. The most commonly accepted model for gradient formation assumes that Bcd travels by simple diffusion and is uniformly degraded across syncytial embryos, yet several recent studies have challenged these ideas. Here, the question of Bcd mobility was investigated using fluorescence correlation spectroscopy in live Drosophila melanogaster embryos. Bcd-EGFP molecules were found to be highly mobile in the cytoplasm during cycles 12-14, with a diffusion coefficient ???7 ??m 2/s. This value is large enough to explain the stable establishment of the Bcd gradient simply by diffusion before cycle 8, i.e., before the onset of zygotic transcription. ?? 2010 by the Biophysical Society.","container-title":"Biophysical Journal","DOI":"10.1016/j.bpj.2010.05.031","ISSN":"00063495","issue":"4","note":"PMID: 20712981\nCitation Key: Abu-Arish2010\nISBN: 0006-3495","page":"33-35","title":"High mobility of Bicoid captured by fluorescence correlation spectroscopy: Implication for the rapid establishment of its gradient","volume":"99","author":[{"family":"Abu-Arish","given":"Asmahan"},{"family":"Porcher","given":"Aude"},{"family":"Czerwonka","given":"Anna"},{"family":"Dostatni","given":"Nathalie"},{"family":"Fradin","given":"Cecile"}],"issued":{"date-parts":[["2010"]]}}}],"schema":"https://github.com/citation-style-language/schema/raw/master/csl-citation.json"} </w:instrText>
            </w:r>
            <w:r w:rsidRPr="004B5005">
              <w:rPr>
                <w:rFonts w:eastAsiaTheme="minorEastAsia"/>
                <w:bCs/>
                <w:lang w:val="en-US"/>
              </w:rPr>
              <w:fldChar w:fldCharType="separate"/>
            </w:r>
            <w:r w:rsidR="00500930" w:rsidRPr="00500930">
              <w:rPr>
                <w:rFonts w:ascii="Calibri" w:hAnsi="Calibri" w:cs="Calibri"/>
              </w:rPr>
              <w:t>(Abu-Arish et al., 2010)</w:t>
            </w:r>
            <w:r w:rsidRPr="004B5005">
              <w:rPr>
                <w:rFonts w:eastAsiaTheme="minorEastAsia"/>
                <w:bCs/>
                <w:lang w:val="en-US"/>
              </w:rPr>
              <w:fldChar w:fldCharType="end"/>
            </w:r>
          </w:p>
        </w:tc>
      </w:tr>
      <w:tr w:rsidR="00CD12DC" w:rsidRPr="0056317D" w14:paraId="36B5A252" w14:textId="77777777" w:rsidTr="00B67D24">
        <w:tc>
          <w:tcPr>
            <w:tcW w:w="1709" w:type="dxa"/>
            <w:vMerge w:val="restart"/>
          </w:tcPr>
          <w:p w14:paraId="1311F6C1" w14:textId="77777777" w:rsidR="00CD12DC" w:rsidRPr="004B5005" w:rsidRDefault="00CD12DC" w:rsidP="00ED4FFB">
            <w:pPr>
              <w:jc w:val="center"/>
              <w:rPr>
                <w:rFonts w:eastAsiaTheme="minorEastAsia"/>
                <w:bCs/>
                <w:lang w:val="en-US"/>
              </w:rPr>
            </w:pPr>
            <m:oMathPara>
              <m:oMath>
                <m:r>
                  <w:rPr>
                    <w:rFonts w:ascii="Cambria Math" w:eastAsiaTheme="minorEastAsia" w:hAnsi="Cambria Math"/>
                    <w:lang w:val="en-US"/>
                  </w:rPr>
                  <m:t>a</m:t>
                </m:r>
              </m:oMath>
            </m:oMathPara>
          </w:p>
          <w:p w14:paraId="3334011D" w14:textId="77777777" w:rsidR="00CD12DC" w:rsidRPr="004B5005" w:rsidRDefault="00CD12DC" w:rsidP="00ED4FFB">
            <w:pPr>
              <w:jc w:val="center"/>
              <w:rPr>
                <w:rFonts w:eastAsiaTheme="minorEastAsia"/>
                <w:bCs/>
                <w:lang w:val="en-US"/>
              </w:rPr>
            </w:pPr>
            <w:r w:rsidRPr="004B5005">
              <w:rPr>
                <w:rFonts w:eastAsiaTheme="minorEastAsia"/>
                <w:bCs/>
                <w:lang w:val="en-US"/>
              </w:rPr>
              <w:t>(nm)</w:t>
            </w:r>
          </w:p>
        </w:tc>
        <w:tc>
          <w:tcPr>
            <w:tcW w:w="980" w:type="dxa"/>
            <w:vAlign w:val="center"/>
          </w:tcPr>
          <w:p w14:paraId="6D1B7572" w14:textId="77777777" w:rsidR="00CD12DC" w:rsidRPr="004B5005" w:rsidRDefault="00CD12DC" w:rsidP="00ED4FFB">
            <w:pPr>
              <w:jc w:val="center"/>
              <w:rPr>
                <w:rFonts w:eastAsiaTheme="minorEastAsia"/>
                <w:bCs/>
                <w:lang w:val="en-US"/>
              </w:rPr>
            </w:pPr>
            <w:r w:rsidRPr="004B5005">
              <w:rPr>
                <w:rFonts w:eastAsiaTheme="minorEastAsia"/>
                <w:bCs/>
                <w:lang w:val="en-US"/>
              </w:rPr>
              <w:t>3</w:t>
            </w:r>
          </w:p>
        </w:tc>
        <w:tc>
          <w:tcPr>
            <w:tcW w:w="4536" w:type="dxa"/>
          </w:tcPr>
          <w:p w14:paraId="5175944B" w14:textId="77777777" w:rsidR="00CD12DC" w:rsidRPr="004B5005" w:rsidRDefault="00CD12DC" w:rsidP="0042758F">
            <w:pPr>
              <w:rPr>
                <w:rFonts w:eastAsiaTheme="minorEastAsia"/>
                <w:bCs/>
                <w:lang w:val="en-US"/>
              </w:rPr>
            </w:pPr>
            <w:r w:rsidRPr="004B5005">
              <w:rPr>
                <w:rFonts w:eastAsiaTheme="minorEastAsia"/>
                <w:bCs/>
                <w:lang w:val="en-US"/>
              </w:rPr>
              <w:t>Size for a single binding site of ~10bp</w:t>
            </w:r>
          </w:p>
        </w:tc>
        <w:tc>
          <w:tcPr>
            <w:tcW w:w="1837" w:type="dxa"/>
            <w:vAlign w:val="center"/>
          </w:tcPr>
          <w:p w14:paraId="26C6E115" w14:textId="77777777" w:rsidR="00CD12DC" w:rsidRPr="004B5005" w:rsidRDefault="00CD12DC" w:rsidP="00ED4FFB">
            <w:pPr>
              <w:rPr>
                <w:rFonts w:eastAsiaTheme="minorEastAsia"/>
                <w:bCs/>
                <w:lang w:val="en-US"/>
              </w:rPr>
            </w:pPr>
          </w:p>
        </w:tc>
      </w:tr>
      <w:tr w:rsidR="00CD12DC" w:rsidRPr="0056317D" w14:paraId="582A59C0" w14:textId="77777777" w:rsidTr="00B67D24">
        <w:tc>
          <w:tcPr>
            <w:tcW w:w="1709" w:type="dxa"/>
            <w:vMerge/>
          </w:tcPr>
          <w:p w14:paraId="7120E666" w14:textId="77777777" w:rsidR="00CD12DC" w:rsidRPr="004B5005" w:rsidRDefault="00CD12DC" w:rsidP="00ED4FFB">
            <w:pPr>
              <w:rPr>
                <w:rFonts w:ascii="Calibri" w:eastAsia="Times New Roman" w:hAnsi="Calibri" w:cs="Times New Roman"/>
                <w:bCs/>
                <w:lang w:val="en-US"/>
              </w:rPr>
            </w:pPr>
          </w:p>
        </w:tc>
        <w:tc>
          <w:tcPr>
            <w:tcW w:w="980" w:type="dxa"/>
            <w:vAlign w:val="center"/>
          </w:tcPr>
          <w:p w14:paraId="1633C341" w14:textId="77777777" w:rsidR="00CD12DC" w:rsidRPr="004B5005" w:rsidRDefault="00CD12DC" w:rsidP="00ED4FFB">
            <w:pPr>
              <w:jc w:val="center"/>
              <w:rPr>
                <w:rFonts w:eastAsiaTheme="minorEastAsia"/>
                <w:bCs/>
                <w:lang w:val="en-US"/>
              </w:rPr>
            </w:pPr>
            <w:r w:rsidRPr="004B5005">
              <w:rPr>
                <w:rFonts w:eastAsiaTheme="minorEastAsia"/>
                <w:bCs/>
                <w:lang w:val="en-US"/>
              </w:rPr>
              <w:t>0.3</w:t>
            </w:r>
          </w:p>
        </w:tc>
        <w:tc>
          <w:tcPr>
            <w:tcW w:w="4536" w:type="dxa"/>
          </w:tcPr>
          <w:p w14:paraId="5AD6532D" w14:textId="77777777" w:rsidR="00CD12DC" w:rsidRPr="004B5005" w:rsidRDefault="00CD12DC" w:rsidP="0042758F">
            <w:pPr>
              <w:rPr>
                <w:rFonts w:eastAsiaTheme="minorEastAsia"/>
                <w:bCs/>
                <w:lang w:val="en-US"/>
              </w:rPr>
            </w:pPr>
            <w:r w:rsidRPr="004B5005">
              <w:rPr>
                <w:rFonts w:eastAsiaTheme="minorEastAsia"/>
                <w:bCs/>
                <w:lang w:val="en-US"/>
              </w:rPr>
              <w:t>Size of a single nucleotide for exact match</w:t>
            </w:r>
          </w:p>
        </w:tc>
        <w:tc>
          <w:tcPr>
            <w:tcW w:w="1837" w:type="dxa"/>
            <w:vAlign w:val="center"/>
          </w:tcPr>
          <w:p w14:paraId="6B41D8E2" w14:textId="77777777" w:rsidR="00CD12DC" w:rsidRPr="004B5005" w:rsidRDefault="00CD12DC" w:rsidP="00ED4FFB">
            <w:pPr>
              <w:rPr>
                <w:rFonts w:eastAsiaTheme="minorEastAsia"/>
                <w:bCs/>
                <w:lang w:val="en-US"/>
              </w:rPr>
            </w:pPr>
          </w:p>
        </w:tc>
      </w:tr>
    </w:tbl>
    <w:p w14:paraId="4236F786" w14:textId="075800BA" w:rsidR="007F754D" w:rsidRDefault="008B24C3" w:rsidP="00500930">
      <w:pPr>
        <w:spacing w:before="120" w:after="120" w:line="240" w:lineRule="auto"/>
        <w:jc w:val="both"/>
        <w:rPr>
          <w:rFonts w:eastAsiaTheme="minorEastAsia"/>
          <w:bCs/>
          <w:lang w:val="en-US"/>
        </w:rPr>
      </w:pPr>
      <w:r>
        <w:rPr>
          <w:rFonts w:eastAsiaTheme="minorEastAsia"/>
          <w:b/>
          <w:bCs/>
          <w:lang w:val="en-US"/>
        </w:rPr>
        <w:t xml:space="preserve">Supplementary File </w:t>
      </w:r>
      <w:r w:rsidR="00EF2729">
        <w:rPr>
          <w:rFonts w:eastAsiaTheme="minorEastAsia"/>
          <w:b/>
          <w:bCs/>
          <w:lang w:val="en-US"/>
        </w:rPr>
        <w:t>4</w:t>
      </w:r>
      <w:r w:rsidR="00CD12DC" w:rsidRPr="004B5005">
        <w:rPr>
          <w:rFonts w:eastAsiaTheme="minorEastAsia"/>
          <w:b/>
          <w:bCs/>
          <w:lang w:val="en-US"/>
        </w:rPr>
        <w:t>.</w:t>
      </w:r>
      <w:r w:rsidR="00CD12DC" w:rsidRPr="004B5005">
        <w:rPr>
          <w:rFonts w:eastAsiaTheme="minorEastAsia"/>
          <w:bCs/>
          <w:lang w:val="en-US"/>
        </w:rPr>
        <w:t xml:space="preserve"> Estimated values of </w:t>
      </w:r>
      <w:proofErr w:type="spellStart"/>
      <w:r w:rsidR="00CD12DC" w:rsidRPr="004B5005">
        <w:rPr>
          <w:rFonts w:eastAsiaTheme="minorEastAsia"/>
          <w:bCs/>
          <w:lang w:val="en-US"/>
        </w:rPr>
        <w:t>Bcd</w:t>
      </w:r>
      <w:proofErr w:type="spellEnd"/>
      <w:r w:rsidR="00CD12DC" w:rsidRPr="004B5005">
        <w:rPr>
          <w:rFonts w:eastAsiaTheme="minorEastAsia"/>
          <w:bCs/>
          <w:lang w:val="en-US"/>
        </w:rPr>
        <w:t xml:space="preserve"> concentration at the anterior (</w:t>
      </w:r>
      <m:oMath>
        <m:sSub>
          <m:sSubPr>
            <m:ctrlPr>
              <w:rPr>
                <w:rFonts w:ascii="Cambria Math" w:eastAsiaTheme="minorEastAsia" w:hAnsi="Cambria Math"/>
                <w:bCs/>
                <w:i/>
                <w:lang w:val="en-US"/>
              </w:rPr>
            </m:ctrlPr>
          </m:sSubPr>
          <m:e>
            <m:r>
              <w:rPr>
                <w:rFonts w:ascii="Cambria Math" w:eastAsiaTheme="minorEastAsia" w:hAnsi="Cambria Math"/>
                <w:lang w:val="en-US"/>
              </w:rPr>
              <m:t>c</m:t>
            </m:r>
          </m:e>
          <m:sub>
            <m:r>
              <w:rPr>
                <w:rFonts w:ascii="Cambria Math" w:eastAsiaTheme="minorEastAsia" w:hAnsi="Cambria Math"/>
                <w:lang w:val="en-US"/>
              </w:rPr>
              <m:t>A</m:t>
            </m:r>
          </m:sub>
        </m:sSub>
      </m:oMath>
      <w:r w:rsidR="00CD12DC" w:rsidRPr="004B5005">
        <w:rPr>
          <w:rFonts w:eastAsiaTheme="minorEastAsia"/>
          <w:bCs/>
          <w:lang w:val="en-US"/>
        </w:rPr>
        <w:t>), diffusion coefficient (</w:t>
      </w:r>
      <m:oMath>
        <m:r>
          <w:rPr>
            <w:rFonts w:ascii="Cambria Math" w:eastAsiaTheme="minorEastAsia" w:hAnsi="Cambria Math"/>
            <w:lang w:val="en-US"/>
          </w:rPr>
          <m:t>D</m:t>
        </m:r>
      </m:oMath>
      <w:r w:rsidR="00CD12DC" w:rsidRPr="004B5005">
        <w:rPr>
          <w:rFonts w:eastAsiaTheme="minorEastAsia"/>
          <w:bCs/>
          <w:lang w:val="en-US"/>
        </w:rPr>
        <w:t>) and the size of the target for binding (</w:t>
      </w:r>
      <m:oMath>
        <m:r>
          <w:rPr>
            <w:rFonts w:ascii="Cambria Math" w:eastAsiaTheme="minorEastAsia" w:hAnsi="Cambria Math"/>
            <w:lang w:val="en-US"/>
          </w:rPr>
          <m:t>a</m:t>
        </m:r>
      </m:oMath>
      <w:r w:rsidR="00CD12DC" w:rsidRPr="004B5005">
        <w:rPr>
          <w:rFonts w:eastAsiaTheme="minorEastAsia"/>
          <w:bCs/>
          <w:lang w:val="en-US"/>
        </w:rPr>
        <w:t>) from previous work.</w:t>
      </w:r>
    </w:p>
    <w:p w14:paraId="0A67D88D" w14:textId="566DB627" w:rsidR="00CD12DC" w:rsidRDefault="00CD12DC" w:rsidP="008E1CE4">
      <w:pPr>
        <w:suppressLineNumbers/>
        <w:spacing w:before="120" w:after="120" w:line="240" w:lineRule="auto"/>
        <w:contextualSpacing/>
        <w:jc w:val="both"/>
        <w:rPr>
          <w:rFonts w:eastAsiaTheme="minorEastAsia" w:cstheme="minorHAnsi"/>
          <w:lang w:val="en-US"/>
        </w:rPr>
      </w:pPr>
    </w:p>
    <w:p w14:paraId="3E0C16D3" w14:textId="4A74E987" w:rsidR="00171821" w:rsidRPr="00C95ED8" w:rsidRDefault="00171821" w:rsidP="008E1CE4">
      <w:pPr>
        <w:pStyle w:val="Titre1"/>
        <w:suppressLineNumbers/>
        <w:rPr>
          <w:lang w:val="en-US"/>
        </w:rPr>
      </w:pPr>
      <w:r w:rsidRPr="00C95ED8">
        <w:rPr>
          <w:lang w:val="en-US"/>
        </w:rPr>
        <w:t>References</w:t>
      </w:r>
    </w:p>
    <w:p w14:paraId="70D46A47" w14:textId="77777777" w:rsidR="00171821" w:rsidRPr="00BD7AC6" w:rsidRDefault="00171821" w:rsidP="008E1CE4">
      <w:pPr>
        <w:pStyle w:val="Bibliographie"/>
        <w:suppressLineNumbers/>
        <w:spacing w:before="120"/>
        <w:rPr>
          <w:rFonts w:ascii="Calibri" w:hAnsi="Calibri" w:cs="Calibri"/>
          <w:lang w:val="en-US"/>
        </w:rPr>
      </w:pPr>
      <w:r w:rsidRPr="004B5005">
        <w:rPr>
          <w:lang w:val="en-US"/>
        </w:rPr>
        <w:fldChar w:fldCharType="begin"/>
      </w:r>
      <w:r w:rsidRPr="00C95ED8">
        <w:rPr>
          <w:lang w:val="en-US"/>
        </w:rPr>
        <w:instrText xml:space="preserve"> ADDIN ZOTERO_BIBL {"uncited":[],"omitted":[],"custom":[]} CSL_BIBLIOGRAPHY </w:instrText>
      </w:r>
      <w:r w:rsidRPr="004B5005">
        <w:rPr>
          <w:lang w:val="en-US"/>
        </w:rPr>
        <w:fldChar w:fldCharType="separate"/>
      </w:r>
      <w:r w:rsidRPr="00BD7AC6">
        <w:rPr>
          <w:rFonts w:ascii="Calibri" w:hAnsi="Calibri" w:cs="Calibri"/>
          <w:lang w:val="en-US"/>
        </w:rPr>
        <w:t xml:space="preserve">Abu-Arish A, Porcher A, Czerwonka A, Dostatni N, Fradin C. 2010. High mobility of Bicoid captured by fluorescence correlation spectroscopy: Implication for the rapid establishment of its gradient. </w:t>
      </w:r>
      <w:r w:rsidRPr="00BD7AC6">
        <w:rPr>
          <w:rFonts w:ascii="Calibri" w:hAnsi="Calibri" w:cs="Calibri"/>
          <w:i/>
          <w:iCs/>
          <w:lang w:val="en-US"/>
        </w:rPr>
        <w:t>Biophys J</w:t>
      </w:r>
      <w:r w:rsidRPr="00BD7AC6">
        <w:rPr>
          <w:rFonts w:ascii="Calibri" w:hAnsi="Calibri" w:cs="Calibri"/>
          <w:lang w:val="en-US"/>
        </w:rPr>
        <w:t xml:space="preserve"> </w:t>
      </w:r>
      <w:r w:rsidRPr="00BD7AC6">
        <w:rPr>
          <w:rFonts w:ascii="Calibri" w:hAnsi="Calibri" w:cs="Calibri"/>
          <w:b/>
          <w:bCs/>
          <w:lang w:val="en-US"/>
        </w:rPr>
        <w:t>99</w:t>
      </w:r>
      <w:r w:rsidRPr="00BD7AC6">
        <w:rPr>
          <w:rFonts w:ascii="Calibri" w:hAnsi="Calibri" w:cs="Calibri"/>
          <w:lang w:val="en-US"/>
        </w:rPr>
        <w:t>:33–35. doi:10.1016/j.bpj.2010.05.031</w:t>
      </w:r>
    </w:p>
    <w:p w14:paraId="4D492C65" w14:textId="77777777" w:rsidR="00171821" w:rsidRPr="00BD7AC6" w:rsidRDefault="00171821" w:rsidP="008E1CE4">
      <w:pPr>
        <w:pStyle w:val="Bibliographie"/>
        <w:suppressLineNumbers/>
        <w:spacing w:before="120"/>
        <w:rPr>
          <w:rFonts w:ascii="Calibri" w:hAnsi="Calibri" w:cs="Calibri"/>
          <w:lang w:val="en-US"/>
        </w:rPr>
      </w:pPr>
      <w:r w:rsidRPr="00BD7AC6">
        <w:rPr>
          <w:rFonts w:ascii="Calibri" w:hAnsi="Calibri" w:cs="Calibri"/>
          <w:lang w:val="de-DE"/>
        </w:rPr>
        <w:t xml:space="preserve">Gregor T, Tank DW, Wieschaus E, Bialek W. 2007a. </w:t>
      </w:r>
      <w:r w:rsidRPr="00BD7AC6">
        <w:rPr>
          <w:rFonts w:ascii="Calibri" w:hAnsi="Calibri" w:cs="Calibri"/>
          <w:lang w:val="en-US"/>
        </w:rPr>
        <w:t xml:space="preserve">Probing the limits to positional information. </w:t>
      </w:r>
      <w:r w:rsidRPr="00BD7AC6">
        <w:rPr>
          <w:rFonts w:ascii="Calibri" w:hAnsi="Calibri" w:cs="Calibri"/>
          <w:i/>
          <w:iCs/>
          <w:lang w:val="en-US"/>
        </w:rPr>
        <w:t>Cell</w:t>
      </w:r>
      <w:r w:rsidRPr="00BD7AC6">
        <w:rPr>
          <w:rFonts w:ascii="Calibri" w:hAnsi="Calibri" w:cs="Calibri"/>
          <w:lang w:val="en-US"/>
        </w:rPr>
        <w:t xml:space="preserve"> </w:t>
      </w:r>
      <w:r w:rsidRPr="00BD7AC6">
        <w:rPr>
          <w:rFonts w:ascii="Calibri" w:hAnsi="Calibri" w:cs="Calibri"/>
          <w:b/>
          <w:bCs/>
          <w:lang w:val="en-US"/>
        </w:rPr>
        <w:t>130</w:t>
      </w:r>
      <w:r w:rsidRPr="00BD7AC6">
        <w:rPr>
          <w:rFonts w:ascii="Calibri" w:hAnsi="Calibri" w:cs="Calibri"/>
          <w:lang w:val="en-US"/>
        </w:rPr>
        <w:t>:153–164. doi:10.1016/j.cell.2007.05.025</w:t>
      </w:r>
    </w:p>
    <w:p w14:paraId="0B38FA7B" w14:textId="77777777" w:rsidR="00171821" w:rsidRPr="00BD7AC6" w:rsidRDefault="00171821" w:rsidP="008E1CE4">
      <w:pPr>
        <w:pStyle w:val="Bibliographie"/>
        <w:suppressLineNumbers/>
        <w:spacing w:before="120"/>
        <w:rPr>
          <w:rFonts w:ascii="Calibri" w:hAnsi="Calibri" w:cs="Calibri"/>
          <w:lang w:val="de-DE"/>
        </w:rPr>
      </w:pPr>
      <w:r w:rsidRPr="00BD7AC6">
        <w:rPr>
          <w:rFonts w:ascii="Calibri" w:hAnsi="Calibri" w:cs="Calibri"/>
          <w:lang w:val="en-US"/>
        </w:rPr>
        <w:t xml:space="preserve">Gregor T, Wieschaus E, McGregor AP, Bialek W, Tank DW. 2007b. Stability and nuclear dynamics of the Bicoid morphogen gradient. </w:t>
      </w:r>
      <w:r w:rsidRPr="00BD7AC6">
        <w:rPr>
          <w:rFonts w:ascii="Calibri" w:hAnsi="Calibri" w:cs="Calibri"/>
          <w:i/>
          <w:iCs/>
          <w:lang w:val="de-DE"/>
        </w:rPr>
        <w:t>Cell</w:t>
      </w:r>
      <w:r w:rsidRPr="00BD7AC6">
        <w:rPr>
          <w:rFonts w:ascii="Calibri" w:hAnsi="Calibri" w:cs="Calibri"/>
          <w:lang w:val="de-DE"/>
        </w:rPr>
        <w:t xml:space="preserve"> </w:t>
      </w:r>
      <w:r w:rsidRPr="00BD7AC6">
        <w:rPr>
          <w:rFonts w:ascii="Calibri" w:hAnsi="Calibri" w:cs="Calibri"/>
          <w:b/>
          <w:bCs/>
          <w:lang w:val="de-DE"/>
        </w:rPr>
        <w:t>130</w:t>
      </w:r>
      <w:r w:rsidRPr="00BD7AC6">
        <w:rPr>
          <w:rFonts w:ascii="Calibri" w:hAnsi="Calibri" w:cs="Calibri"/>
          <w:lang w:val="de-DE"/>
        </w:rPr>
        <w:t>:141–152. doi:10.1016/j.cell.2007.05.026</w:t>
      </w:r>
    </w:p>
    <w:p w14:paraId="1E4C7B88" w14:textId="77777777" w:rsidR="00171821" w:rsidRPr="00BD7AC6" w:rsidRDefault="00171821" w:rsidP="008E1CE4">
      <w:pPr>
        <w:pStyle w:val="Bibliographie"/>
        <w:suppressLineNumbers/>
        <w:spacing w:before="120"/>
        <w:rPr>
          <w:rFonts w:ascii="Calibri" w:hAnsi="Calibri" w:cs="Calibri"/>
          <w:lang w:val="en-US"/>
        </w:rPr>
      </w:pPr>
      <w:r w:rsidRPr="00BD7AC6">
        <w:rPr>
          <w:rFonts w:ascii="Calibri" w:hAnsi="Calibri" w:cs="Calibri"/>
          <w:lang w:val="en-US"/>
        </w:rPr>
        <w:t xml:space="preserve">Liu F, Morrison AH, Gregor T. 2013. Dynamic interpretation of maternal inputs by the Drosophila segmentation gene network. </w:t>
      </w:r>
      <w:r w:rsidRPr="00BD7AC6">
        <w:rPr>
          <w:rFonts w:ascii="Calibri" w:hAnsi="Calibri" w:cs="Calibri"/>
          <w:i/>
          <w:iCs/>
          <w:lang w:val="en-US"/>
        </w:rPr>
        <w:t>Proc Natl Acad Sci</w:t>
      </w:r>
      <w:r w:rsidRPr="00BD7AC6">
        <w:rPr>
          <w:rFonts w:ascii="Calibri" w:hAnsi="Calibri" w:cs="Calibri"/>
          <w:lang w:val="en-US"/>
        </w:rPr>
        <w:t xml:space="preserve"> </w:t>
      </w:r>
      <w:r w:rsidRPr="00BD7AC6">
        <w:rPr>
          <w:rFonts w:ascii="Calibri" w:hAnsi="Calibri" w:cs="Calibri"/>
          <w:b/>
          <w:bCs/>
          <w:lang w:val="en-US"/>
        </w:rPr>
        <w:t>110</w:t>
      </w:r>
      <w:r w:rsidRPr="00BD7AC6">
        <w:rPr>
          <w:rFonts w:ascii="Calibri" w:hAnsi="Calibri" w:cs="Calibri"/>
          <w:lang w:val="en-US"/>
        </w:rPr>
        <w:t>:6724–6729. doi:10.1073/pnas.1220912110</w:t>
      </w:r>
    </w:p>
    <w:p w14:paraId="69A22579" w14:textId="2BABE82D" w:rsidR="00171821" w:rsidRPr="00BD7AC6" w:rsidRDefault="00171821" w:rsidP="008E1CE4">
      <w:pPr>
        <w:pStyle w:val="Bibliographie"/>
        <w:suppressLineNumbers/>
        <w:rPr>
          <w:rFonts w:ascii="Calibri" w:hAnsi="Calibri" w:cs="Calibri"/>
        </w:rPr>
      </w:pPr>
    </w:p>
    <w:p w14:paraId="49F1DD7E" w14:textId="050CDE6A" w:rsidR="00171821" w:rsidRPr="000E300B" w:rsidRDefault="00171821" w:rsidP="000E300B">
      <w:pPr>
        <w:suppressLineNumbers/>
        <w:rPr>
          <w:lang w:val="es-ES"/>
        </w:rPr>
      </w:pPr>
      <w:r w:rsidRPr="004B5005">
        <w:rPr>
          <w:lang w:val="en-US"/>
        </w:rPr>
        <w:fldChar w:fldCharType="end"/>
      </w:r>
    </w:p>
    <w:sectPr w:rsidR="00171821" w:rsidRPr="000E300B" w:rsidSect="008A05D8">
      <w:footerReference w:type="default" r:id="rId8"/>
      <w:pgSz w:w="11906" w:h="16838"/>
      <w:pgMar w:top="1417" w:right="1417" w:bottom="1417" w:left="1417" w:header="708" w:footer="708" w:gutter="0"/>
      <w:lnNumType w:countBy="1" w:restart="continuous"/>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092D" w14:textId="77777777" w:rsidR="00E84464" w:rsidRDefault="00E84464" w:rsidP="00A041FA">
      <w:pPr>
        <w:spacing w:after="0" w:line="240" w:lineRule="auto"/>
      </w:pPr>
      <w:r>
        <w:separator/>
      </w:r>
    </w:p>
  </w:endnote>
  <w:endnote w:type="continuationSeparator" w:id="0">
    <w:p w14:paraId="63AF4D16" w14:textId="77777777" w:rsidR="00E84464" w:rsidRDefault="00E84464" w:rsidP="00A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530856"/>
      <w:docPartObj>
        <w:docPartGallery w:val="Page Numbers (Bottom of Page)"/>
        <w:docPartUnique/>
      </w:docPartObj>
    </w:sdtPr>
    <w:sdtEndPr/>
    <w:sdtContent>
      <w:p w14:paraId="283714BA" w14:textId="287E0F13" w:rsidR="00ED4FFB" w:rsidRDefault="00ED4FFB">
        <w:pPr>
          <w:pStyle w:val="Pieddepage"/>
          <w:jc w:val="right"/>
        </w:pPr>
        <w:r>
          <w:fldChar w:fldCharType="begin"/>
        </w:r>
        <w:r>
          <w:instrText>PAGE   \* MERGEFORMAT</w:instrText>
        </w:r>
        <w:r>
          <w:fldChar w:fldCharType="separate"/>
        </w:r>
        <w:r>
          <w:t>2</w:t>
        </w:r>
        <w:r>
          <w:fldChar w:fldCharType="end"/>
        </w:r>
      </w:p>
    </w:sdtContent>
  </w:sdt>
  <w:p w14:paraId="412AEEB1" w14:textId="77777777" w:rsidR="00ED4FFB" w:rsidRDefault="00ED4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F561" w14:textId="77777777" w:rsidR="00E84464" w:rsidRDefault="00E84464" w:rsidP="00A041FA">
      <w:pPr>
        <w:spacing w:after="0" w:line="240" w:lineRule="auto"/>
      </w:pPr>
      <w:r>
        <w:separator/>
      </w:r>
    </w:p>
  </w:footnote>
  <w:footnote w:type="continuationSeparator" w:id="0">
    <w:p w14:paraId="1BD17A36" w14:textId="77777777" w:rsidR="00E84464" w:rsidRDefault="00E84464" w:rsidP="00A04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B6120"/>
    <w:multiLevelType w:val="hybridMultilevel"/>
    <w:tmpl w:val="A1F49226"/>
    <w:lvl w:ilvl="0" w:tplc="A59CE4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A070DB"/>
    <w:multiLevelType w:val="hybridMultilevel"/>
    <w:tmpl w:val="9C70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22B5"/>
    <w:multiLevelType w:val="hybridMultilevel"/>
    <w:tmpl w:val="4E7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E39B6"/>
    <w:multiLevelType w:val="hybridMultilevel"/>
    <w:tmpl w:val="722C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E1091B"/>
    <w:multiLevelType w:val="hybridMultilevel"/>
    <w:tmpl w:val="DFD45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1"/>
    <w:rsid w:val="000227AA"/>
    <w:rsid w:val="00026246"/>
    <w:rsid w:val="000268D0"/>
    <w:rsid w:val="00044158"/>
    <w:rsid w:val="0004691F"/>
    <w:rsid w:val="00046FC1"/>
    <w:rsid w:val="00047211"/>
    <w:rsid w:val="00047BB5"/>
    <w:rsid w:val="00063F59"/>
    <w:rsid w:val="000746F6"/>
    <w:rsid w:val="000861EE"/>
    <w:rsid w:val="00086229"/>
    <w:rsid w:val="000870F4"/>
    <w:rsid w:val="00087A7E"/>
    <w:rsid w:val="000924C9"/>
    <w:rsid w:val="00096052"/>
    <w:rsid w:val="000A69D1"/>
    <w:rsid w:val="000B2194"/>
    <w:rsid w:val="000B5784"/>
    <w:rsid w:val="000C32CF"/>
    <w:rsid w:val="000C4567"/>
    <w:rsid w:val="000C699B"/>
    <w:rsid w:val="000C7FA8"/>
    <w:rsid w:val="000D19AF"/>
    <w:rsid w:val="000D1AA3"/>
    <w:rsid w:val="000D22EE"/>
    <w:rsid w:val="000D2EC5"/>
    <w:rsid w:val="000D5575"/>
    <w:rsid w:val="000D592D"/>
    <w:rsid w:val="000D5DEF"/>
    <w:rsid w:val="000E300B"/>
    <w:rsid w:val="000E4B53"/>
    <w:rsid w:val="000E6AC0"/>
    <w:rsid w:val="000E71E2"/>
    <w:rsid w:val="000F0D05"/>
    <w:rsid w:val="000F5786"/>
    <w:rsid w:val="000F607B"/>
    <w:rsid w:val="00107A57"/>
    <w:rsid w:val="00113310"/>
    <w:rsid w:val="00116033"/>
    <w:rsid w:val="0012371D"/>
    <w:rsid w:val="0012507D"/>
    <w:rsid w:val="001251E3"/>
    <w:rsid w:val="00127742"/>
    <w:rsid w:val="00146C7C"/>
    <w:rsid w:val="00151108"/>
    <w:rsid w:val="0015269E"/>
    <w:rsid w:val="00160E21"/>
    <w:rsid w:val="00163B43"/>
    <w:rsid w:val="00165008"/>
    <w:rsid w:val="00166B21"/>
    <w:rsid w:val="001670D0"/>
    <w:rsid w:val="00171821"/>
    <w:rsid w:val="0017722A"/>
    <w:rsid w:val="00195089"/>
    <w:rsid w:val="001A0669"/>
    <w:rsid w:val="001A0BF9"/>
    <w:rsid w:val="001A1D45"/>
    <w:rsid w:val="001A790C"/>
    <w:rsid w:val="001C1D83"/>
    <w:rsid w:val="001C218C"/>
    <w:rsid w:val="001C2E05"/>
    <w:rsid w:val="001C3DB6"/>
    <w:rsid w:val="001D0B7A"/>
    <w:rsid w:val="001D17BA"/>
    <w:rsid w:val="001D3BD0"/>
    <w:rsid w:val="001E1AEA"/>
    <w:rsid w:val="001E23FF"/>
    <w:rsid w:val="001E5037"/>
    <w:rsid w:val="001E6BFC"/>
    <w:rsid w:val="001F0BF1"/>
    <w:rsid w:val="001F4C22"/>
    <w:rsid w:val="001F5186"/>
    <w:rsid w:val="00202216"/>
    <w:rsid w:val="0020398E"/>
    <w:rsid w:val="00204157"/>
    <w:rsid w:val="0020683C"/>
    <w:rsid w:val="00206B42"/>
    <w:rsid w:val="00215A72"/>
    <w:rsid w:val="002210EC"/>
    <w:rsid w:val="0022547B"/>
    <w:rsid w:val="002261CA"/>
    <w:rsid w:val="0022770C"/>
    <w:rsid w:val="002375EE"/>
    <w:rsid w:val="0024418E"/>
    <w:rsid w:val="002451FC"/>
    <w:rsid w:val="00246013"/>
    <w:rsid w:val="0025525F"/>
    <w:rsid w:val="00261F28"/>
    <w:rsid w:val="00262263"/>
    <w:rsid w:val="002639B4"/>
    <w:rsid w:val="0026479F"/>
    <w:rsid w:val="00267442"/>
    <w:rsid w:val="002710ED"/>
    <w:rsid w:val="002711D8"/>
    <w:rsid w:val="00272AA4"/>
    <w:rsid w:val="0027580A"/>
    <w:rsid w:val="002779D1"/>
    <w:rsid w:val="00290423"/>
    <w:rsid w:val="0029141A"/>
    <w:rsid w:val="00296BFB"/>
    <w:rsid w:val="002A39D2"/>
    <w:rsid w:val="002A545D"/>
    <w:rsid w:val="002A6342"/>
    <w:rsid w:val="002A74F6"/>
    <w:rsid w:val="002B56D9"/>
    <w:rsid w:val="002B6D5A"/>
    <w:rsid w:val="002C1DE9"/>
    <w:rsid w:val="002C205F"/>
    <w:rsid w:val="002C66C6"/>
    <w:rsid w:val="002D004E"/>
    <w:rsid w:val="002D1741"/>
    <w:rsid w:val="002D261C"/>
    <w:rsid w:val="002D454A"/>
    <w:rsid w:val="002D5595"/>
    <w:rsid w:val="002E27B4"/>
    <w:rsid w:val="002E6747"/>
    <w:rsid w:val="002F46AA"/>
    <w:rsid w:val="002F5BB9"/>
    <w:rsid w:val="002F6F9F"/>
    <w:rsid w:val="00304BA2"/>
    <w:rsid w:val="003152F3"/>
    <w:rsid w:val="0031635A"/>
    <w:rsid w:val="003216FB"/>
    <w:rsid w:val="003219CA"/>
    <w:rsid w:val="003225B0"/>
    <w:rsid w:val="00326461"/>
    <w:rsid w:val="0032735E"/>
    <w:rsid w:val="00331A09"/>
    <w:rsid w:val="003342F5"/>
    <w:rsid w:val="00341BBE"/>
    <w:rsid w:val="00350949"/>
    <w:rsid w:val="0035383D"/>
    <w:rsid w:val="00355E30"/>
    <w:rsid w:val="00361FC9"/>
    <w:rsid w:val="00362635"/>
    <w:rsid w:val="00363BED"/>
    <w:rsid w:val="003670D6"/>
    <w:rsid w:val="00375B3B"/>
    <w:rsid w:val="003868C9"/>
    <w:rsid w:val="00393900"/>
    <w:rsid w:val="00395322"/>
    <w:rsid w:val="003A23E9"/>
    <w:rsid w:val="003A39A7"/>
    <w:rsid w:val="003A4AE4"/>
    <w:rsid w:val="003B0DE7"/>
    <w:rsid w:val="003B14E6"/>
    <w:rsid w:val="003B785E"/>
    <w:rsid w:val="003C0476"/>
    <w:rsid w:val="003C3402"/>
    <w:rsid w:val="003D2307"/>
    <w:rsid w:val="003D568A"/>
    <w:rsid w:val="003E0CA3"/>
    <w:rsid w:val="003E7870"/>
    <w:rsid w:val="003F20A5"/>
    <w:rsid w:val="003F5F28"/>
    <w:rsid w:val="003F6237"/>
    <w:rsid w:val="00400286"/>
    <w:rsid w:val="004017EF"/>
    <w:rsid w:val="00401910"/>
    <w:rsid w:val="00410944"/>
    <w:rsid w:val="00416AE1"/>
    <w:rsid w:val="004208B5"/>
    <w:rsid w:val="004214E3"/>
    <w:rsid w:val="0042158A"/>
    <w:rsid w:val="00422A0F"/>
    <w:rsid w:val="00423CAB"/>
    <w:rsid w:val="00424CE9"/>
    <w:rsid w:val="0042758F"/>
    <w:rsid w:val="004301B6"/>
    <w:rsid w:val="00434FFB"/>
    <w:rsid w:val="004409E4"/>
    <w:rsid w:val="004477FD"/>
    <w:rsid w:val="00451FF8"/>
    <w:rsid w:val="00452951"/>
    <w:rsid w:val="0045414C"/>
    <w:rsid w:val="00454C4E"/>
    <w:rsid w:val="0046068E"/>
    <w:rsid w:val="00463905"/>
    <w:rsid w:val="004640F2"/>
    <w:rsid w:val="0046491C"/>
    <w:rsid w:val="00476429"/>
    <w:rsid w:val="0049308D"/>
    <w:rsid w:val="004A204F"/>
    <w:rsid w:val="004A4A13"/>
    <w:rsid w:val="004B3347"/>
    <w:rsid w:val="004B5005"/>
    <w:rsid w:val="004B747D"/>
    <w:rsid w:val="004B7527"/>
    <w:rsid w:val="004C1441"/>
    <w:rsid w:val="004C4374"/>
    <w:rsid w:val="004C5272"/>
    <w:rsid w:val="004D2218"/>
    <w:rsid w:val="004E01D7"/>
    <w:rsid w:val="004E66DD"/>
    <w:rsid w:val="004E7707"/>
    <w:rsid w:val="004F4990"/>
    <w:rsid w:val="004F5338"/>
    <w:rsid w:val="004F6039"/>
    <w:rsid w:val="00500930"/>
    <w:rsid w:val="005025A2"/>
    <w:rsid w:val="0050324A"/>
    <w:rsid w:val="0050598A"/>
    <w:rsid w:val="00514019"/>
    <w:rsid w:val="00517A1B"/>
    <w:rsid w:val="005238E6"/>
    <w:rsid w:val="005309A2"/>
    <w:rsid w:val="00533E0F"/>
    <w:rsid w:val="00545AD8"/>
    <w:rsid w:val="005479DE"/>
    <w:rsid w:val="0055289A"/>
    <w:rsid w:val="00553196"/>
    <w:rsid w:val="0056317D"/>
    <w:rsid w:val="00563C29"/>
    <w:rsid w:val="00564256"/>
    <w:rsid w:val="00574FD8"/>
    <w:rsid w:val="00582FA2"/>
    <w:rsid w:val="00583618"/>
    <w:rsid w:val="00586617"/>
    <w:rsid w:val="00587C84"/>
    <w:rsid w:val="00596684"/>
    <w:rsid w:val="005A4E26"/>
    <w:rsid w:val="005B027F"/>
    <w:rsid w:val="005B41F1"/>
    <w:rsid w:val="005C7364"/>
    <w:rsid w:val="005C7DE0"/>
    <w:rsid w:val="005D16E8"/>
    <w:rsid w:val="005D50AA"/>
    <w:rsid w:val="005E20CE"/>
    <w:rsid w:val="005E30F9"/>
    <w:rsid w:val="005F7940"/>
    <w:rsid w:val="005F7BF8"/>
    <w:rsid w:val="0060729F"/>
    <w:rsid w:val="00614CD2"/>
    <w:rsid w:val="00621EBB"/>
    <w:rsid w:val="00621FAC"/>
    <w:rsid w:val="006318E1"/>
    <w:rsid w:val="00634D28"/>
    <w:rsid w:val="00636B9C"/>
    <w:rsid w:val="00640314"/>
    <w:rsid w:val="00645266"/>
    <w:rsid w:val="00645549"/>
    <w:rsid w:val="006524E8"/>
    <w:rsid w:val="00653820"/>
    <w:rsid w:val="00657F9A"/>
    <w:rsid w:val="00660F16"/>
    <w:rsid w:val="00663763"/>
    <w:rsid w:val="00663775"/>
    <w:rsid w:val="00663F82"/>
    <w:rsid w:val="00667DE2"/>
    <w:rsid w:val="00670F5C"/>
    <w:rsid w:val="0067491D"/>
    <w:rsid w:val="00681BAE"/>
    <w:rsid w:val="006859EC"/>
    <w:rsid w:val="006873FA"/>
    <w:rsid w:val="00694D1B"/>
    <w:rsid w:val="00695C06"/>
    <w:rsid w:val="00696268"/>
    <w:rsid w:val="006A0D50"/>
    <w:rsid w:val="006B1FA0"/>
    <w:rsid w:val="006B652F"/>
    <w:rsid w:val="006C1873"/>
    <w:rsid w:val="006C614B"/>
    <w:rsid w:val="006C7AF0"/>
    <w:rsid w:val="006C7E7E"/>
    <w:rsid w:val="006D4DE2"/>
    <w:rsid w:val="006E1A6B"/>
    <w:rsid w:val="006F2100"/>
    <w:rsid w:val="00702C25"/>
    <w:rsid w:val="00724096"/>
    <w:rsid w:val="00724DCF"/>
    <w:rsid w:val="007256EB"/>
    <w:rsid w:val="007333DE"/>
    <w:rsid w:val="00765DCC"/>
    <w:rsid w:val="007749B2"/>
    <w:rsid w:val="00774EAD"/>
    <w:rsid w:val="00781AB7"/>
    <w:rsid w:val="007859A9"/>
    <w:rsid w:val="0078661E"/>
    <w:rsid w:val="00796185"/>
    <w:rsid w:val="00797F6A"/>
    <w:rsid w:val="007A16BE"/>
    <w:rsid w:val="007A1744"/>
    <w:rsid w:val="007A2A44"/>
    <w:rsid w:val="007A2F60"/>
    <w:rsid w:val="007A4FFF"/>
    <w:rsid w:val="007A6835"/>
    <w:rsid w:val="007B0F57"/>
    <w:rsid w:val="007B1912"/>
    <w:rsid w:val="007B6F4C"/>
    <w:rsid w:val="007B7BCF"/>
    <w:rsid w:val="007C36B9"/>
    <w:rsid w:val="007C4E5B"/>
    <w:rsid w:val="007C672C"/>
    <w:rsid w:val="007C69F3"/>
    <w:rsid w:val="007D05D2"/>
    <w:rsid w:val="007D0B0E"/>
    <w:rsid w:val="007D5270"/>
    <w:rsid w:val="007D6DEC"/>
    <w:rsid w:val="007D7304"/>
    <w:rsid w:val="007E4695"/>
    <w:rsid w:val="007F754D"/>
    <w:rsid w:val="00804432"/>
    <w:rsid w:val="00806305"/>
    <w:rsid w:val="0080749D"/>
    <w:rsid w:val="00810427"/>
    <w:rsid w:val="00810A00"/>
    <w:rsid w:val="008117D1"/>
    <w:rsid w:val="008175CE"/>
    <w:rsid w:val="00820181"/>
    <w:rsid w:val="00827260"/>
    <w:rsid w:val="00833238"/>
    <w:rsid w:val="00842DD7"/>
    <w:rsid w:val="00844F30"/>
    <w:rsid w:val="00850112"/>
    <w:rsid w:val="00864490"/>
    <w:rsid w:val="00864EA5"/>
    <w:rsid w:val="008746DC"/>
    <w:rsid w:val="008766EF"/>
    <w:rsid w:val="00883872"/>
    <w:rsid w:val="00885D96"/>
    <w:rsid w:val="00886AC5"/>
    <w:rsid w:val="00893ED2"/>
    <w:rsid w:val="00894678"/>
    <w:rsid w:val="008A05D8"/>
    <w:rsid w:val="008A6FF4"/>
    <w:rsid w:val="008B24C3"/>
    <w:rsid w:val="008B3AFF"/>
    <w:rsid w:val="008B41CC"/>
    <w:rsid w:val="008B422A"/>
    <w:rsid w:val="008C4F20"/>
    <w:rsid w:val="008C608B"/>
    <w:rsid w:val="008C63FE"/>
    <w:rsid w:val="008D10F2"/>
    <w:rsid w:val="008D4CD3"/>
    <w:rsid w:val="008E1CE4"/>
    <w:rsid w:val="008E5926"/>
    <w:rsid w:val="008E6BDB"/>
    <w:rsid w:val="008E7334"/>
    <w:rsid w:val="008F4622"/>
    <w:rsid w:val="009003DD"/>
    <w:rsid w:val="00903E62"/>
    <w:rsid w:val="00914D99"/>
    <w:rsid w:val="00921F44"/>
    <w:rsid w:val="00922164"/>
    <w:rsid w:val="00922252"/>
    <w:rsid w:val="00922E17"/>
    <w:rsid w:val="00923264"/>
    <w:rsid w:val="009303F6"/>
    <w:rsid w:val="009311B3"/>
    <w:rsid w:val="00932A79"/>
    <w:rsid w:val="00935C42"/>
    <w:rsid w:val="00936235"/>
    <w:rsid w:val="00937E5C"/>
    <w:rsid w:val="00943DDB"/>
    <w:rsid w:val="009441AC"/>
    <w:rsid w:val="009516BD"/>
    <w:rsid w:val="009561F0"/>
    <w:rsid w:val="00956C34"/>
    <w:rsid w:val="00961AA9"/>
    <w:rsid w:val="00961CB8"/>
    <w:rsid w:val="00963D86"/>
    <w:rsid w:val="009645E1"/>
    <w:rsid w:val="00965760"/>
    <w:rsid w:val="00965763"/>
    <w:rsid w:val="00974F9D"/>
    <w:rsid w:val="009841A0"/>
    <w:rsid w:val="009849EC"/>
    <w:rsid w:val="00984FD0"/>
    <w:rsid w:val="0098601B"/>
    <w:rsid w:val="00992106"/>
    <w:rsid w:val="00993C7A"/>
    <w:rsid w:val="00994044"/>
    <w:rsid w:val="00994883"/>
    <w:rsid w:val="009955D2"/>
    <w:rsid w:val="009A3BC0"/>
    <w:rsid w:val="009A551D"/>
    <w:rsid w:val="009A6509"/>
    <w:rsid w:val="009A67DE"/>
    <w:rsid w:val="009B3070"/>
    <w:rsid w:val="009C19D1"/>
    <w:rsid w:val="009D71BF"/>
    <w:rsid w:val="009E1FE4"/>
    <w:rsid w:val="009E24CF"/>
    <w:rsid w:val="00A0134C"/>
    <w:rsid w:val="00A033D3"/>
    <w:rsid w:val="00A041FA"/>
    <w:rsid w:val="00A11318"/>
    <w:rsid w:val="00A11E9F"/>
    <w:rsid w:val="00A16232"/>
    <w:rsid w:val="00A22895"/>
    <w:rsid w:val="00A3082A"/>
    <w:rsid w:val="00A32530"/>
    <w:rsid w:val="00A3445C"/>
    <w:rsid w:val="00A35615"/>
    <w:rsid w:val="00A409C4"/>
    <w:rsid w:val="00A422CB"/>
    <w:rsid w:val="00A440E9"/>
    <w:rsid w:val="00A5540F"/>
    <w:rsid w:val="00A615D1"/>
    <w:rsid w:val="00A635A9"/>
    <w:rsid w:val="00A65BBC"/>
    <w:rsid w:val="00A66724"/>
    <w:rsid w:val="00A70D36"/>
    <w:rsid w:val="00A71522"/>
    <w:rsid w:val="00A73FFD"/>
    <w:rsid w:val="00A827B8"/>
    <w:rsid w:val="00A8430A"/>
    <w:rsid w:val="00A85ABC"/>
    <w:rsid w:val="00A9010C"/>
    <w:rsid w:val="00A92A17"/>
    <w:rsid w:val="00A9626D"/>
    <w:rsid w:val="00A9656A"/>
    <w:rsid w:val="00AA1138"/>
    <w:rsid w:val="00AB391D"/>
    <w:rsid w:val="00AB4C9B"/>
    <w:rsid w:val="00AC272F"/>
    <w:rsid w:val="00AC5D68"/>
    <w:rsid w:val="00AD0249"/>
    <w:rsid w:val="00AD14EA"/>
    <w:rsid w:val="00AD2286"/>
    <w:rsid w:val="00AD36E3"/>
    <w:rsid w:val="00AD73F1"/>
    <w:rsid w:val="00AE3509"/>
    <w:rsid w:val="00AF36F4"/>
    <w:rsid w:val="00B06C01"/>
    <w:rsid w:val="00B14AE5"/>
    <w:rsid w:val="00B160E3"/>
    <w:rsid w:val="00B179D2"/>
    <w:rsid w:val="00B2616A"/>
    <w:rsid w:val="00B30F37"/>
    <w:rsid w:val="00B37955"/>
    <w:rsid w:val="00B47403"/>
    <w:rsid w:val="00B50A2C"/>
    <w:rsid w:val="00B50BAC"/>
    <w:rsid w:val="00B53908"/>
    <w:rsid w:val="00B577E5"/>
    <w:rsid w:val="00B67D24"/>
    <w:rsid w:val="00B73677"/>
    <w:rsid w:val="00B75E01"/>
    <w:rsid w:val="00B7769B"/>
    <w:rsid w:val="00B77FC3"/>
    <w:rsid w:val="00B820DD"/>
    <w:rsid w:val="00B839A5"/>
    <w:rsid w:val="00B84CF2"/>
    <w:rsid w:val="00B971C0"/>
    <w:rsid w:val="00BA2295"/>
    <w:rsid w:val="00BA30EB"/>
    <w:rsid w:val="00BA44F6"/>
    <w:rsid w:val="00BA6B4D"/>
    <w:rsid w:val="00BB6A03"/>
    <w:rsid w:val="00BC32F9"/>
    <w:rsid w:val="00BC450B"/>
    <w:rsid w:val="00BD235A"/>
    <w:rsid w:val="00BD7AC6"/>
    <w:rsid w:val="00BE13B5"/>
    <w:rsid w:val="00BE13CD"/>
    <w:rsid w:val="00BE2505"/>
    <w:rsid w:val="00BE5088"/>
    <w:rsid w:val="00BF2C07"/>
    <w:rsid w:val="00BF648A"/>
    <w:rsid w:val="00BF7E43"/>
    <w:rsid w:val="00C01FA8"/>
    <w:rsid w:val="00C028F0"/>
    <w:rsid w:val="00C03E2A"/>
    <w:rsid w:val="00C03F19"/>
    <w:rsid w:val="00C04194"/>
    <w:rsid w:val="00C0568B"/>
    <w:rsid w:val="00C06191"/>
    <w:rsid w:val="00C14791"/>
    <w:rsid w:val="00C21291"/>
    <w:rsid w:val="00C22A73"/>
    <w:rsid w:val="00C24291"/>
    <w:rsid w:val="00C31E46"/>
    <w:rsid w:val="00C50AC9"/>
    <w:rsid w:val="00C644F4"/>
    <w:rsid w:val="00C674AE"/>
    <w:rsid w:val="00C72D0D"/>
    <w:rsid w:val="00C83406"/>
    <w:rsid w:val="00C8794F"/>
    <w:rsid w:val="00C90FD7"/>
    <w:rsid w:val="00C94B7F"/>
    <w:rsid w:val="00C95E50"/>
    <w:rsid w:val="00C95ED8"/>
    <w:rsid w:val="00CA4E04"/>
    <w:rsid w:val="00CA50C8"/>
    <w:rsid w:val="00CB303B"/>
    <w:rsid w:val="00CC3222"/>
    <w:rsid w:val="00CD12DC"/>
    <w:rsid w:val="00CE0C79"/>
    <w:rsid w:val="00CE1884"/>
    <w:rsid w:val="00CE221C"/>
    <w:rsid w:val="00CF1DEE"/>
    <w:rsid w:val="00CF5921"/>
    <w:rsid w:val="00CF63B8"/>
    <w:rsid w:val="00D10DAE"/>
    <w:rsid w:val="00D228A0"/>
    <w:rsid w:val="00D262D6"/>
    <w:rsid w:val="00D32885"/>
    <w:rsid w:val="00D35F5C"/>
    <w:rsid w:val="00D426F2"/>
    <w:rsid w:val="00D42825"/>
    <w:rsid w:val="00D42844"/>
    <w:rsid w:val="00D42FCF"/>
    <w:rsid w:val="00D4315E"/>
    <w:rsid w:val="00D52624"/>
    <w:rsid w:val="00D56C31"/>
    <w:rsid w:val="00D57CB0"/>
    <w:rsid w:val="00D6626C"/>
    <w:rsid w:val="00D67DDC"/>
    <w:rsid w:val="00D71123"/>
    <w:rsid w:val="00D714C7"/>
    <w:rsid w:val="00D74767"/>
    <w:rsid w:val="00D74A17"/>
    <w:rsid w:val="00D85701"/>
    <w:rsid w:val="00D85DD9"/>
    <w:rsid w:val="00DA27E7"/>
    <w:rsid w:val="00DC58F6"/>
    <w:rsid w:val="00DC7F9A"/>
    <w:rsid w:val="00DD1652"/>
    <w:rsid w:val="00DD5621"/>
    <w:rsid w:val="00DE6008"/>
    <w:rsid w:val="00DF53AA"/>
    <w:rsid w:val="00E072D3"/>
    <w:rsid w:val="00E1369C"/>
    <w:rsid w:val="00E1399D"/>
    <w:rsid w:val="00E16883"/>
    <w:rsid w:val="00E17A3D"/>
    <w:rsid w:val="00E20475"/>
    <w:rsid w:val="00E229FC"/>
    <w:rsid w:val="00E245D9"/>
    <w:rsid w:val="00E31661"/>
    <w:rsid w:val="00E331A7"/>
    <w:rsid w:val="00E35DC5"/>
    <w:rsid w:val="00E5789D"/>
    <w:rsid w:val="00E60A8E"/>
    <w:rsid w:val="00E702C0"/>
    <w:rsid w:val="00E7148E"/>
    <w:rsid w:val="00E71E71"/>
    <w:rsid w:val="00E72C86"/>
    <w:rsid w:val="00E7416C"/>
    <w:rsid w:val="00E826BE"/>
    <w:rsid w:val="00E84464"/>
    <w:rsid w:val="00E851B6"/>
    <w:rsid w:val="00E9589C"/>
    <w:rsid w:val="00E96818"/>
    <w:rsid w:val="00EC10EC"/>
    <w:rsid w:val="00EC3D68"/>
    <w:rsid w:val="00EC54B8"/>
    <w:rsid w:val="00EC6332"/>
    <w:rsid w:val="00EC7D26"/>
    <w:rsid w:val="00ED32B0"/>
    <w:rsid w:val="00ED4FFB"/>
    <w:rsid w:val="00ED6232"/>
    <w:rsid w:val="00ED7F20"/>
    <w:rsid w:val="00EE43EB"/>
    <w:rsid w:val="00EF24D5"/>
    <w:rsid w:val="00EF2729"/>
    <w:rsid w:val="00EF5BC0"/>
    <w:rsid w:val="00EF5C76"/>
    <w:rsid w:val="00F01DF6"/>
    <w:rsid w:val="00F04B50"/>
    <w:rsid w:val="00F14406"/>
    <w:rsid w:val="00F15835"/>
    <w:rsid w:val="00F22A46"/>
    <w:rsid w:val="00F22BD9"/>
    <w:rsid w:val="00F22D0E"/>
    <w:rsid w:val="00F237A7"/>
    <w:rsid w:val="00F247D8"/>
    <w:rsid w:val="00F34E17"/>
    <w:rsid w:val="00F42F92"/>
    <w:rsid w:val="00F53612"/>
    <w:rsid w:val="00F54AE0"/>
    <w:rsid w:val="00F54B82"/>
    <w:rsid w:val="00F56D13"/>
    <w:rsid w:val="00F60B1E"/>
    <w:rsid w:val="00F644F0"/>
    <w:rsid w:val="00F6690F"/>
    <w:rsid w:val="00F71D86"/>
    <w:rsid w:val="00F72790"/>
    <w:rsid w:val="00F83A80"/>
    <w:rsid w:val="00F86836"/>
    <w:rsid w:val="00F92889"/>
    <w:rsid w:val="00F9470F"/>
    <w:rsid w:val="00F96DE2"/>
    <w:rsid w:val="00FB04E0"/>
    <w:rsid w:val="00FC0758"/>
    <w:rsid w:val="00FC59B5"/>
    <w:rsid w:val="00FD23BE"/>
    <w:rsid w:val="00FD4014"/>
    <w:rsid w:val="00FE35F8"/>
    <w:rsid w:val="00FE4BF5"/>
    <w:rsid w:val="00FE55F3"/>
    <w:rsid w:val="00FE79C2"/>
    <w:rsid w:val="00FF2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BB6"/>
  <w14:defaultImageDpi w14:val="32767"/>
  <w15:chartTrackingRefBased/>
  <w15:docId w15:val="{7DE9B763-B65D-43B1-82F3-AE5A98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F44"/>
    <w:pPr>
      <w:keepNext/>
      <w:keepLines/>
      <w:spacing w:before="240" w:after="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21F44"/>
    <w:pPr>
      <w:keepNext/>
      <w:keepLines/>
      <w:spacing w:before="40" w:after="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921F44"/>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6461"/>
    <w:rPr>
      <w:color w:val="808080"/>
    </w:rPr>
  </w:style>
  <w:style w:type="paragraph" w:styleId="Paragraphedeliste">
    <w:name w:val="List Paragraph"/>
    <w:basedOn w:val="Normal"/>
    <w:uiPriority w:val="34"/>
    <w:qFormat/>
    <w:rsid w:val="0098601B"/>
    <w:pPr>
      <w:ind w:left="720"/>
      <w:contextualSpacing/>
    </w:pPr>
  </w:style>
  <w:style w:type="paragraph" w:styleId="Textedebulles">
    <w:name w:val="Balloon Text"/>
    <w:basedOn w:val="Normal"/>
    <w:link w:val="TextedebullesCar"/>
    <w:uiPriority w:val="99"/>
    <w:semiHidden/>
    <w:unhideWhenUsed/>
    <w:rsid w:val="00423CA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23CA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7D7304"/>
    <w:rPr>
      <w:sz w:val="16"/>
      <w:szCs w:val="16"/>
    </w:rPr>
  </w:style>
  <w:style w:type="paragraph" w:styleId="Commentaire">
    <w:name w:val="annotation text"/>
    <w:basedOn w:val="Normal"/>
    <w:link w:val="CommentaireCar"/>
    <w:uiPriority w:val="99"/>
    <w:semiHidden/>
    <w:unhideWhenUsed/>
    <w:rsid w:val="007D7304"/>
    <w:pPr>
      <w:spacing w:line="240" w:lineRule="auto"/>
    </w:pPr>
    <w:rPr>
      <w:sz w:val="20"/>
      <w:szCs w:val="20"/>
    </w:rPr>
  </w:style>
  <w:style w:type="character" w:customStyle="1" w:styleId="CommentaireCar">
    <w:name w:val="Commentaire Car"/>
    <w:basedOn w:val="Policepardfaut"/>
    <w:link w:val="Commentaire"/>
    <w:uiPriority w:val="99"/>
    <w:semiHidden/>
    <w:rsid w:val="007D7304"/>
    <w:rPr>
      <w:sz w:val="20"/>
      <w:szCs w:val="20"/>
    </w:rPr>
  </w:style>
  <w:style w:type="paragraph" w:styleId="Objetducommentaire">
    <w:name w:val="annotation subject"/>
    <w:basedOn w:val="Commentaire"/>
    <w:next w:val="Commentaire"/>
    <w:link w:val="ObjetducommentaireCar"/>
    <w:uiPriority w:val="99"/>
    <w:semiHidden/>
    <w:unhideWhenUsed/>
    <w:rsid w:val="007D7304"/>
    <w:rPr>
      <w:b/>
      <w:bCs/>
    </w:rPr>
  </w:style>
  <w:style w:type="character" w:customStyle="1" w:styleId="ObjetducommentaireCar">
    <w:name w:val="Objet du commentaire Car"/>
    <w:basedOn w:val="CommentaireCar"/>
    <w:link w:val="Objetducommentaire"/>
    <w:uiPriority w:val="99"/>
    <w:semiHidden/>
    <w:rsid w:val="007D7304"/>
    <w:rPr>
      <w:b/>
      <w:bCs/>
      <w:sz w:val="20"/>
      <w:szCs w:val="20"/>
    </w:rPr>
  </w:style>
  <w:style w:type="character" w:customStyle="1" w:styleId="Titre2Car">
    <w:name w:val="Titre 2 Car"/>
    <w:basedOn w:val="Policepardfaut"/>
    <w:link w:val="Titre2"/>
    <w:uiPriority w:val="9"/>
    <w:rsid w:val="00921F44"/>
    <w:rPr>
      <w:rFonts w:eastAsiaTheme="majorEastAsia" w:cstheme="majorBidi"/>
      <w:b/>
      <w:sz w:val="26"/>
      <w:szCs w:val="26"/>
    </w:rPr>
  </w:style>
  <w:style w:type="character" w:customStyle="1" w:styleId="Titre1Car">
    <w:name w:val="Titre 1 Car"/>
    <w:basedOn w:val="Policepardfaut"/>
    <w:link w:val="Titre1"/>
    <w:uiPriority w:val="9"/>
    <w:rsid w:val="00921F44"/>
    <w:rPr>
      <w:rFonts w:eastAsiaTheme="majorEastAsia" w:cstheme="majorBidi"/>
      <w:b/>
      <w:sz w:val="32"/>
      <w:szCs w:val="32"/>
    </w:rPr>
  </w:style>
  <w:style w:type="character" w:customStyle="1" w:styleId="Titre3Car">
    <w:name w:val="Titre 3 Car"/>
    <w:basedOn w:val="Policepardfaut"/>
    <w:link w:val="Titre3"/>
    <w:uiPriority w:val="9"/>
    <w:rsid w:val="00921F44"/>
    <w:rPr>
      <w:rFonts w:eastAsiaTheme="majorEastAsia" w:cstheme="majorBidi"/>
      <w:b/>
      <w:szCs w:val="24"/>
    </w:rPr>
  </w:style>
  <w:style w:type="paragraph" w:styleId="Bibliographie">
    <w:name w:val="Bibliography"/>
    <w:basedOn w:val="Normal"/>
    <w:next w:val="Normal"/>
    <w:uiPriority w:val="37"/>
    <w:unhideWhenUsed/>
    <w:rsid w:val="008C608B"/>
    <w:pPr>
      <w:spacing w:after="0" w:line="240" w:lineRule="auto"/>
      <w:ind w:left="720" w:hanging="720"/>
    </w:pPr>
  </w:style>
  <w:style w:type="character" w:styleId="Lienhypertexte">
    <w:name w:val="Hyperlink"/>
    <w:basedOn w:val="Policepardfaut"/>
    <w:uiPriority w:val="99"/>
    <w:unhideWhenUsed/>
    <w:rsid w:val="00F22BD9"/>
    <w:rPr>
      <w:color w:val="0000FF" w:themeColor="hyperlink"/>
      <w:u w:val="single"/>
    </w:rPr>
  </w:style>
  <w:style w:type="character" w:styleId="Mentionnonrsolue">
    <w:name w:val="Unresolved Mention"/>
    <w:basedOn w:val="Policepardfaut"/>
    <w:uiPriority w:val="99"/>
    <w:semiHidden/>
    <w:unhideWhenUsed/>
    <w:rsid w:val="00F22BD9"/>
    <w:rPr>
      <w:color w:val="605E5C"/>
      <w:shd w:val="clear" w:color="auto" w:fill="E1DFDD"/>
    </w:rPr>
  </w:style>
  <w:style w:type="character" w:customStyle="1" w:styleId="fontstyle01">
    <w:name w:val="fontstyle01"/>
    <w:basedOn w:val="Policepardfaut"/>
    <w:rsid w:val="00F22BD9"/>
    <w:rPr>
      <w:rFonts w:ascii="ArialMT" w:hAnsi="ArialMT" w:hint="default"/>
      <w:b w:val="0"/>
      <w:bCs w:val="0"/>
      <w:i w:val="0"/>
      <w:iCs w:val="0"/>
      <w:color w:val="000000"/>
      <w:sz w:val="20"/>
      <w:szCs w:val="20"/>
    </w:rPr>
  </w:style>
  <w:style w:type="character" w:styleId="Numrodeligne">
    <w:name w:val="line number"/>
    <w:basedOn w:val="Policepardfaut"/>
    <w:uiPriority w:val="99"/>
    <w:semiHidden/>
    <w:unhideWhenUsed/>
    <w:rsid w:val="009E24CF"/>
  </w:style>
  <w:style w:type="paragraph" w:styleId="Titre">
    <w:name w:val="Title"/>
    <w:basedOn w:val="Normal"/>
    <w:next w:val="Normal"/>
    <w:link w:val="TitreCar"/>
    <w:uiPriority w:val="10"/>
    <w:qFormat/>
    <w:rsid w:val="005D1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6E8"/>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A041FA"/>
    <w:pPr>
      <w:tabs>
        <w:tab w:val="center" w:pos="4536"/>
        <w:tab w:val="right" w:pos="9072"/>
      </w:tabs>
      <w:spacing w:after="0" w:line="240" w:lineRule="auto"/>
    </w:pPr>
  </w:style>
  <w:style w:type="character" w:customStyle="1" w:styleId="En-tteCar">
    <w:name w:val="En-tête Car"/>
    <w:basedOn w:val="Policepardfaut"/>
    <w:link w:val="En-tte"/>
    <w:uiPriority w:val="99"/>
    <w:rsid w:val="00A041FA"/>
  </w:style>
  <w:style w:type="paragraph" w:styleId="Pieddepage">
    <w:name w:val="footer"/>
    <w:basedOn w:val="Normal"/>
    <w:link w:val="PieddepageCar"/>
    <w:uiPriority w:val="99"/>
    <w:unhideWhenUsed/>
    <w:rsid w:val="00A041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1FA"/>
  </w:style>
  <w:style w:type="paragraph" w:styleId="Rvision">
    <w:name w:val="Revision"/>
    <w:hidden/>
    <w:uiPriority w:val="99"/>
    <w:semiHidden/>
    <w:rsid w:val="00C95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3725">
      <w:bodyDiv w:val="1"/>
      <w:marLeft w:val="0"/>
      <w:marRight w:val="0"/>
      <w:marTop w:val="0"/>
      <w:marBottom w:val="0"/>
      <w:divBdr>
        <w:top w:val="none" w:sz="0" w:space="0" w:color="auto"/>
        <w:left w:val="none" w:sz="0" w:space="0" w:color="auto"/>
        <w:bottom w:val="none" w:sz="0" w:space="0" w:color="auto"/>
        <w:right w:val="none" w:sz="0" w:space="0" w:color="auto"/>
      </w:divBdr>
    </w:div>
    <w:div w:id="15941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A9DD-A9B7-4CE5-ADEF-34CAD6CB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2198</Words>
  <Characters>12095</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 Curie</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Anakine</dc:creator>
  <cp:keywords/>
  <dc:description/>
  <cp:lastModifiedBy>Dostatni Nathalie</cp:lastModifiedBy>
  <cp:revision>4</cp:revision>
  <cp:lastPrinted>2022-02-11T17:56:00Z</cp:lastPrinted>
  <dcterms:created xsi:type="dcterms:W3CDTF">2022-02-10T18:08:00Z</dcterms:created>
  <dcterms:modified xsi:type="dcterms:W3CDTF">2022-02-11T17:57:00Z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http://csl.mendeley.com/styles/25275491/apa</vt:lpwstr>
  </property>
  <property fmtid="{D5CDD505-2E9C-101B-9397-08002B2CF9AE}" pid="9" name="Mendeley Recent Style Name 3_1">
    <vt:lpwstr>American Psychological Association 6th edition - Huy Tran</vt:lpwstr>
  </property>
  <property fmtid="{D5CDD505-2E9C-101B-9397-08002B2CF9AE}" pid="10" name="Mendeley Recent Style Id 4_1">
    <vt:lpwstr>http://www.zotero.org/styles/annual-reviews-author-date</vt:lpwstr>
  </property>
  <property fmtid="{D5CDD505-2E9C-101B-9397-08002B2CF9AE}" pid="11" name="Mendeley Recent Style Name 4_1">
    <vt:lpwstr>Annual Reviews (author-date)</vt:lpwstr>
  </property>
  <property fmtid="{D5CDD505-2E9C-101B-9397-08002B2CF9AE}" pid="12" name="Mendeley Recent Style Id 5_1">
    <vt:lpwstr>http://csl.mendeley.com/styles/25275491/annual-reviews-author-date</vt:lpwstr>
  </property>
  <property fmtid="{D5CDD505-2E9C-101B-9397-08002B2CF9AE}" pid="13" name="Mendeley Recent Style Name 5_1">
    <vt:lpwstr>Annual Reviews (author-date) - Huy Tran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https://csl.mendeley.com/styles/25275491/chicago-author-date</vt:lpwstr>
  </property>
  <property fmtid="{D5CDD505-2E9C-101B-9397-08002B2CF9AE}" pid="17" name="Mendeley Recent Style Name 7_1">
    <vt:lpwstr>Chicago Manual of Style 17th edition (author-date) - Huy Tran</vt:lpwstr>
  </property>
  <property fmtid="{D5CDD505-2E9C-101B-9397-08002B2CF9AE}" pid="18" name="Mendeley Recent Style Id 8_1">
    <vt:lpwstr>http://www.zotero.org/styles/developmental-biology</vt:lpwstr>
  </property>
  <property fmtid="{D5CDD505-2E9C-101B-9397-08002B2CF9AE}" pid="19" name="Mendeley Recent Style Name 8_1">
    <vt:lpwstr>Developmental Biology</vt:lpwstr>
  </property>
  <property fmtid="{D5CDD505-2E9C-101B-9397-08002B2CF9AE}" pid="20" name="Mendeley Recent Style Id 9_1">
    <vt:lpwstr>http://www.zotero.org/styles/physical-review-e</vt:lpwstr>
  </property>
  <property fmtid="{D5CDD505-2E9C-101B-9397-08002B2CF9AE}" pid="21" name="Mendeley Recent Style Name 9_1">
    <vt:lpwstr>Physical Review E</vt:lpwstr>
  </property>
  <property fmtid="{D5CDD505-2E9C-101B-9397-08002B2CF9AE}" pid="22" name="ZOTERO_PREF_1">
    <vt:lpwstr>&lt;data data-version="3" zotero-version="5.0.97-beta.57+07df7d0de"&gt;&lt;session id="doWJBOtu"/&gt;&lt;style id="http://www.zotero.org/styles/elife" hasBibliography="1" bibliographyStyleHasBeenSet="1"/&gt;&lt;prefs&gt;&lt;pref name="fieldType" value="Field"/&gt;&lt;pref name="automatic</vt:lpwstr>
  </property>
  <property fmtid="{D5CDD505-2E9C-101B-9397-08002B2CF9AE}" pid="23" name="ZOTERO_PREF_2">
    <vt:lpwstr>JournalAbbreviations" value="true"/&gt;&lt;/prefs&gt;&lt;/data&gt;</vt:lpwstr>
  </property>
</Properties>
</file>