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456A1">
        <w:fldChar w:fldCharType="begin"/>
      </w:r>
      <w:r w:rsidR="00C456A1">
        <w:instrText xml:space="preserve"> HYPERLINK "https://biosharing.org/" \t "_blank" </w:instrText>
      </w:r>
      <w:r w:rsidR="00C456A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456A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3F56ECD" w:rsidR="00FD4937" w:rsidRPr="00125190" w:rsidRDefault="00E0300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Data collection is described in our Methods. We used all available high quality genome sequence from </w:t>
      </w:r>
      <w:r>
        <w:rPr>
          <w:rFonts w:asciiTheme="minorHAnsi" w:hAnsiTheme="minorHAnsi"/>
          <w:i/>
          <w:iCs/>
        </w:rPr>
        <w:t xml:space="preserve">Staphylococcus aureus </w:t>
      </w:r>
      <w:r>
        <w:rPr>
          <w:rFonts w:asciiTheme="minorHAnsi" w:hAnsiTheme="minorHAnsi"/>
        </w:rPr>
        <w:t xml:space="preserve">CC398 data for our analyses.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CCC3D3B" w:rsidR="00FD4937" w:rsidRPr="00125190" w:rsidRDefault="00E0300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undertake experiments for this study. We have describe the analyses we performed on the genome sequence data in our manuscript.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337B803" w:rsidR="00FD4937" w:rsidRPr="00505C51" w:rsidRDefault="00E0300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Full descriptions of the methods we used </w:t>
      </w:r>
      <w:r w:rsidR="00D06185">
        <w:rPr>
          <w:rFonts w:asciiTheme="minorHAnsi" w:hAnsiTheme="minorHAnsi"/>
          <w:sz w:val="22"/>
          <w:szCs w:val="22"/>
        </w:rPr>
        <w:t xml:space="preserve">in </w:t>
      </w:r>
      <w:r w:rsidR="00D06185">
        <w:rPr>
          <w:rFonts w:asciiTheme="minorHAnsi" w:hAnsiTheme="minorHAnsi"/>
          <w:sz w:val="22"/>
          <w:szCs w:val="22"/>
        </w:rPr>
        <w:t>constructing phylogenies and in reconstructing the dynamics of mobile genetic analyses</w:t>
      </w:r>
      <w:r w:rsidR="00D06185">
        <w:rPr>
          <w:rFonts w:asciiTheme="minorHAnsi" w:hAnsiTheme="minorHAnsi"/>
          <w:sz w:val="22"/>
          <w:szCs w:val="22"/>
        </w:rPr>
        <w:t xml:space="preserve"> </w:t>
      </w:r>
      <w:r>
        <w:rPr>
          <w:rFonts w:asciiTheme="minorHAnsi" w:hAnsiTheme="minorHAnsi"/>
          <w:sz w:val="22"/>
          <w:szCs w:val="22"/>
        </w:rPr>
        <w:t xml:space="preserve">are given in the Methods section. </w:t>
      </w:r>
      <w:r w:rsidR="00D06185">
        <w:rPr>
          <w:rFonts w:asciiTheme="minorHAnsi" w:hAnsiTheme="minorHAnsi"/>
          <w:sz w:val="22"/>
          <w:szCs w:val="22"/>
        </w:rPr>
        <w:t>Descriptions of the s</w:t>
      </w:r>
      <w:r>
        <w:rPr>
          <w:rFonts w:asciiTheme="minorHAnsi" w:hAnsiTheme="minorHAnsi"/>
          <w:sz w:val="22"/>
          <w:szCs w:val="22"/>
        </w:rPr>
        <w:t>tatistics reported for figures are described in the legends.</w:t>
      </w:r>
      <w:r w:rsidR="00D06185">
        <w:rPr>
          <w:rFonts w:asciiTheme="minorHAnsi" w:hAnsiTheme="minorHAnsi"/>
          <w:sz w:val="22"/>
          <w:szCs w:val="22"/>
        </w:rPr>
        <w:t xml:space="preserve"> We used standard statistics to report the results of these analyses. We also undertook bootstrapping to generate confidence intervals for our estimates of genetic diversity (see Methods) and we used phylogenetically independent groups (see Methods and Figure S14) to compare patterns of gene gain/loss upon transitions between host groups.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7D1F622" w:rsidR="00FD4937" w:rsidRPr="00E0300D" w:rsidRDefault="00E0300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distinguish two populations of </w:t>
      </w:r>
      <w:r>
        <w:rPr>
          <w:rFonts w:asciiTheme="minorHAnsi" w:hAnsiTheme="minorHAnsi"/>
          <w:i/>
          <w:iCs/>
          <w:sz w:val="22"/>
          <w:szCs w:val="22"/>
        </w:rPr>
        <w:t>Staphylococcus aureus</w:t>
      </w:r>
      <w:r>
        <w:rPr>
          <w:rFonts w:asciiTheme="minorHAnsi" w:hAnsiTheme="minorHAnsi"/>
          <w:sz w:val="22"/>
          <w:szCs w:val="22"/>
        </w:rPr>
        <w:t xml:space="preserve"> CC398 in our analyses (one human-associated and one livestock-associated). This distinction has been made by previous studies. We describe in our manuscript how we define these groups, and the group identities of each isolate are provided in Table S3.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3C8607E" w:rsidR="00FD4937" w:rsidRPr="00505C51" w:rsidRDefault="00E0300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have provided descriptions of the mobile genetic elements we identified in our analyses and how they vary across the isolates in our study (Tables S2, S3, S4, S6). We have additionally provided a description of the present of antibiotic resistance genes across our isolates (Table S7), and all metadata that we used in our study (Table S1).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53C0E" w14:textId="77777777" w:rsidR="00C456A1" w:rsidRDefault="00C456A1">
      <w:r>
        <w:separator/>
      </w:r>
    </w:p>
  </w:endnote>
  <w:endnote w:type="continuationSeparator" w:id="0">
    <w:p w14:paraId="474CBD23" w14:textId="77777777" w:rsidR="00C456A1" w:rsidRDefault="00C4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A968B" w14:textId="77777777" w:rsidR="00C456A1" w:rsidRDefault="00C456A1">
      <w:r>
        <w:separator/>
      </w:r>
    </w:p>
  </w:footnote>
  <w:footnote w:type="continuationSeparator" w:id="0">
    <w:p w14:paraId="68EA96EF" w14:textId="77777777" w:rsidR="00C456A1" w:rsidRDefault="00C4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95534"/>
    <w:rsid w:val="00A0248A"/>
    <w:rsid w:val="00B3159C"/>
    <w:rsid w:val="00BE5736"/>
    <w:rsid w:val="00C456A1"/>
    <w:rsid w:val="00D06185"/>
    <w:rsid w:val="00E0300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Gemma</cp:lastModifiedBy>
  <cp:revision>5</cp:revision>
  <dcterms:created xsi:type="dcterms:W3CDTF">2021-01-12T11:56:00Z</dcterms:created>
  <dcterms:modified xsi:type="dcterms:W3CDTF">2021-11-23T11:10:00Z</dcterms:modified>
</cp:coreProperties>
</file>