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We use three types of data:</w:t>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1. GWAS summary statistics.</w:t>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2. Our calculated GWAS associations, using UKBB data, which have been used for many previous studies.</w:t>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3. GTEx eQTL association data.</w:t>
      </w:r>
    </w:p>
    <w:p>
      <w:pPr>
        <w:pStyle w:val="Normal"/>
        <w:pBdr/>
        <w:rPr>
          <w:rFonts w:ascii="Calibri" w:hAnsi="Calibri" w:asciiTheme="minorHAnsi" w:hAnsiTheme="minorHAnsi"/>
        </w:rPr>
        <w:framePr w:w="7817" w:h="4212" w:x="1858" w:y="1" w:wrap="auto" w:vAnchor="text" w:hAnchor="page" w:hRule="exact"/>
      </w:pPr>
      <w:r>
        <w:rPr>
          <w:rFonts w:asciiTheme="minorHAnsi" w:hAnsiTheme="minorHAnsi" w:ascii="Calibri" w:hAnsi="Calibri"/>
        </w:rPr>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Each of these datasets has been previously used for the same purposes (GWAS, colocalization, and TWAS), so power has already been demonstrated by Chun et al. 2017, Giambartolomei et al. 2014, Hormozdiari et al. 2016, Gusev et al. 2016, GTEx Consortium et al. 2015, Mahajan et al. 2018, Liu et al. 2015, Goyette et al. 2015, and Zhang et al. 2020, all of which we cite.</w:t>
      </w:r>
    </w:p>
    <w:p>
      <w:pPr>
        <w:pStyle w:val="Normal"/>
        <w:pBdr/>
        <w:rPr>
          <w:rFonts w:ascii="Calibri" w:hAnsi="Calibri" w:asciiTheme="minorHAnsi" w:hAnsiTheme="minorHAnsi"/>
        </w:rPr>
        <w:framePr w:w="7817" w:h="4212" w:x="1858" w:y="1" w:wrap="auto" w:vAnchor="text" w:hAnchor="page" w:hRule="exact"/>
      </w:pPr>
      <w:r>
        <w:rPr>
          <w:rFonts w:asciiTheme="minorHAnsi" w:hAnsiTheme="minorHAnsi" w:ascii="Calibri" w:hAnsi="Calibri"/>
        </w:rPr>
      </w:r>
    </w:p>
    <w:p>
      <w:pPr>
        <w:pStyle w:val="Normal"/>
        <w:pBdr/>
        <w:rPr>
          <w:rFonts w:ascii="Calibri" w:hAnsi="Calibri" w:asciiTheme="minorHAnsi" w:hAnsiTheme="minorHAnsi"/>
        </w:rPr>
        <w:framePr w:w="7817" w:h="4212" w:x="1858" w:y="1" w:wrap="auto" w:vAnchor="text" w:hAnchor="page" w:hRule="exact"/>
      </w:pPr>
      <w:r>
        <w:rPr>
          <w:rFonts w:ascii="Calibri" w:hAnsi="Calibri" w:asciiTheme="minorHAnsi" w:hAnsiTheme="minorHAnsi"/>
        </w:rPr>
        <w:t>Additionally, with each dataset, we used to maximum number of samples available while avoiding population stratification and relatedness.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pBdr/>
        <w:rPr>
          <w:rFonts w:ascii="Calibri" w:hAnsi="Calibri" w:asciiTheme="minorHAnsi" w:hAnsiTheme="minorHAnsi"/>
        </w:rPr>
        <w:framePr w:w="7817" w:h="1088" w:x="1858" w:y="1" w:wrap="auto" w:vAnchor="text" w:hAnchor="page" w:hRule="exact"/>
      </w:pPr>
      <w:r>
        <w:rPr>
          <w:rFonts w:ascii="Calibri" w:hAnsi="Calibri" w:asciiTheme="minorHAnsi" w:hAnsiTheme="minorHAnsi"/>
        </w:rPr>
        <w:t>Our study does not run experiments, but instead is a new analysis of existing data, so the concept of experimental replication does not apply.</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pBdr/>
        <w:rPr>
          <w:rFonts w:ascii="Calibri" w:hAnsi="Calibri" w:asciiTheme="minorHAnsi" w:hAnsiTheme="minorHAnsi"/>
          <w:sz w:val="22"/>
          <w:szCs w:val="22"/>
        </w:rPr>
        <w:framePr w:w="7817" w:h="1455" w:x="1904" w:y="21" w:wrap="auto" w:vAnchor="text" w:hAnchor="page" w:hRule="exact"/>
      </w:pPr>
      <w:r>
        <w:rPr>
          <w:rFonts w:ascii="Calibri" w:hAnsi="Calibri" w:asciiTheme="minorHAnsi" w:hAnsiTheme="minorHAnsi"/>
          <w:sz w:val="22"/>
          <w:szCs w:val="22"/>
        </w:rPr>
        <w:t>The calculation for P-values displayed in supp. fig. 1 are explained in the “Enrichment analysis” section of the methods. Other reported P-values and posterior probabilities are obtained from the published methods used, which can be found in the cited papers  Chun et al. 2017, Giambartolomei et al. 2014, Hormozdiari et al. 2016, Gusev et al. 2016, and Wang et al. 2020.</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Because we used phenotypes already recorded along with genomic information, we did not group or define subjects.</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A table (</w:t>
      </w:r>
      <w:r>
        <w:rPr>
          <w:rFonts w:eastAsia="MS Minngs" w:cs="Times New Roman" w:ascii="Calibri" w:hAnsi="Calibri" w:asciiTheme="minorHAnsi" w:hAnsiTheme="minorHAnsi"/>
          <w:color w:val="auto"/>
          <w:kern w:val="0"/>
          <w:sz w:val="22"/>
          <w:szCs w:val="22"/>
          <w:lang w:val="en-US" w:eastAsia="en-US" w:bidi="ar-SA"/>
        </w:rPr>
        <w:t>data_for_fig3</w:t>
      </w:r>
      <w:r>
        <w:rPr>
          <w:rFonts w:ascii="Calibri" w:hAnsi="Calibri" w:asciiTheme="minorHAnsi" w:hAnsiTheme="minorHAnsi"/>
          <w:sz w:val="22"/>
          <w:szCs w:val="22"/>
        </w:rPr>
        <w:t>.</w:t>
      </w:r>
      <w:r>
        <w:rPr>
          <w:rFonts w:ascii="Calibri" w:hAnsi="Calibri" w:asciiTheme="minorHAnsi" w:hAnsiTheme="minorHAnsi"/>
          <w:sz w:val="22"/>
          <w:szCs w:val="22"/>
        </w:rPr>
        <w:t>t</w:t>
      </w:r>
      <w:r>
        <w:rPr>
          <w:rFonts w:ascii="Calibri" w:hAnsi="Calibri" w:asciiTheme="minorHAnsi" w:hAnsiTheme="minorHAnsi"/>
          <w:sz w:val="22"/>
          <w:szCs w:val="22"/>
        </w:rPr>
        <w:t>sv) has been provided listing the genes that were identified as hits with each method, as displayed in Fig. 3.</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5">
              <wp:simplePos x="0" y="0"/>
              <wp:positionH relativeFrom="page">
                <wp:posOffset>6313805</wp:posOffset>
              </wp:positionH>
              <wp:positionV relativeFrom="paragraph">
                <wp:posOffset>123825</wp:posOffset>
              </wp:positionV>
              <wp:extent cx="65405" cy="147320"/>
              <wp:effectExtent l="0" t="0" r="0" b="0"/>
              <wp:wrapSquare wrapText="largest"/>
              <wp:docPr id="2" name="Frame6"/>
              <a:graphic xmlns:a="http://schemas.openxmlformats.org/drawingml/2006/main">
                <a:graphicData uri="http://schemas.microsoft.com/office/word/2010/wordprocessingShape">
                  <wps:wsp>
                    <wps:cNvSpPr/>
                    <wps:spPr>
                      <a:xfrm>
                        <a:off x="0" y="0"/>
                        <a:ext cx="64800" cy="1465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4</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fillcolor="white" stroked="f" style="position:absolute;margin-left:497.15pt;margin-top:9.75pt;width:5.05pt;height:11.5pt;mso-position-horizontal-relative:page">
              <w10:wrap type="square"/>
              <v:fill o:detectmouseclick="t" type="solid" color2="black" opacity="0"/>
              <v:stroke color="#3465a4" joinstyle="round" endcap="flat"/>
              <v:textbo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4</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Application>LibreOffice/6.4.7.2$Linux_X86_64 LibreOffice_project/40$Build-2</Application>
  <Pages>4</Pages>
  <Words>930</Words>
  <Characters>5063</Characters>
  <CharactersWithSpaces>5929</CharactersWithSpaces>
  <Paragraphs>47</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2022-10-06T13:23:47Z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