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2F66D217" w:rsidR="00AF5736" w:rsidRDefault="00AF5736" w:rsidP="00FF5ED7">
      <w:pPr>
        <w:rPr>
          <w:rFonts w:asciiTheme="minorHAnsi" w:hAnsiTheme="minorHAnsi"/>
          <w:b/>
          <w:bCs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16969227" w14:textId="77777777" w:rsidR="00BF3E1B" w:rsidRPr="00505C51" w:rsidRDefault="00BF3E1B" w:rsidP="00FF5ED7">
      <w:pPr>
        <w:rPr>
          <w:rFonts w:asciiTheme="minorHAnsi" w:hAnsiTheme="minorHAnsi"/>
          <w:sz w:val="22"/>
          <w:szCs w:val="22"/>
        </w:rPr>
      </w:pPr>
    </w:p>
    <w:p w14:paraId="002EA2B8" w14:textId="0134183C" w:rsidR="00832082" w:rsidRDefault="00D21F8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824FE">
        <w:rPr>
          <w:rFonts w:ascii="Arial" w:hAnsi="Arial" w:cs="Arial"/>
          <w:sz w:val="20"/>
          <w:szCs w:val="20"/>
        </w:rPr>
        <w:t xml:space="preserve">The conclusion of our study was derived from </w:t>
      </w:r>
      <w:r w:rsidRPr="000824FE">
        <w:rPr>
          <w:rFonts w:ascii="Arial" w:hAnsi="Arial" w:cs="Arial"/>
          <w:b/>
          <w:sz w:val="20"/>
          <w:szCs w:val="20"/>
        </w:rPr>
        <w:t>1) animal behavior data</w:t>
      </w:r>
      <w:r w:rsidR="005F2B0F">
        <w:rPr>
          <w:rFonts w:ascii="Arial" w:hAnsi="Arial" w:cs="Arial"/>
          <w:sz w:val="20"/>
          <w:szCs w:val="20"/>
        </w:rPr>
        <w:t>,</w:t>
      </w:r>
      <w:r w:rsidRPr="000824FE">
        <w:rPr>
          <w:rFonts w:ascii="Arial" w:hAnsi="Arial" w:cs="Arial"/>
          <w:sz w:val="20"/>
          <w:szCs w:val="20"/>
        </w:rPr>
        <w:t xml:space="preserve"> </w:t>
      </w:r>
      <w:r w:rsidRPr="000824FE">
        <w:rPr>
          <w:rFonts w:ascii="Arial" w:hAnsi="Arial" w:cs="Arial"/>
          <w:b/>
          <w:sz w:val="20"/>
          <w:szCs w:val="20"/>
        </w:rPr>
        <w:t>2) single-unit recording data</w:t>
      </w:r>
      <w:r w:rsidR="005F2B0F">
        <w:rPr>
          <w:rFonts w:ascii="Arial" w:hAnsi="Arial" w:cs="Arial"/>
          <w:b/>
          <w:sz w:val="20"/>
          <w:szCs w:val="20"/>
        </w:rPr>
        <w:t xml:space="preserve"> </w:t>
      </w:r>
      <w:r w:rsidR="005F2B0F">
        <w:rPr>
          <w:rFonts w:ascii="Arial" w:hAnsi="Arial" w:cs="Arial"/>
          <w:bCs/>
          <w:sz w:val="20"/>
          <w:szCs w:val="20"/>
        </w:rPr>
        <w:t xml:space="preserve">and </w:t>
      </w:r>
      <w:r w:rsidR="005F2B0F">
        <w:rPr>
          <w:rFonts w:ascii="Arial" w:hAnsi="Arial" w:cs="Arial"/>
          <w:b/>
          <w:sz w:val="20"/>
          <w:szCs w:val="20"/>
        </w:rPr>
        <w:t>3) slice electrophysiology data</w:t>
      </w:r>
      <w:r w:rsidRPr="000824FE">
        <w:rPr>
          <w:rFonts w:ascii="Arial" w:hAnsi="Arial" w:cs="Arial"/>
          <w:sz w:val="20"/>
          <w:szCs w:val="20"/>
        </w:rPr>
        <w:t xml:space="preserve">. We did not use any explicit power analysis, but instead, referred to </w:t>
      </w:r>
      <w:r w:rsidR="000824FE">
        <w:rPr>
          <w:rFonts w:ascii="Arial" w:hAnsi="Arial" w:cs="Arial"/>
          <w:sz w:val="20"/>
          <w:szCs w:val="20"/>
        </w:rPr>
        <w:t xml:space="preserve">the </w:t>
      </w:r>
      <w:r w:rsidR="00744923">
        <w:rPr>
          <w:rFonts w:ascii="Arial" w:hAnsi="Arial" w:cs="Arial"/>
          <w:sz w:val="20"/>
          <w:szCs w:val="20"/>
        </w:rPr>
        <w:t xml:space="preserve">previous </w:t>
      </w:r>
      <w:r w:rsidRPr="000824FE">
        <w:rPr>
          <w:rFonts w:ascii="Arial" w:hAnsi="Arial" w:cs="Arial"/>
          <w:sz w:val="20"/>
          <w:szCs w:val="20"/>
        </w:rPr>
        <w:t>literatures of this field for the generally-accepting animal/</w:t>
      </w:r>
      <w:r w:rsidR="00813318">
        <w:rPr>
          <w:rFonts w:ascii="Arial" w:hAnsi="Arial" w:cs="Arial"/>
          <w:sz w:val="20"/>
          <w:szCs w:val="20"/>
        </w:rPr>
        <w:t>unit</w:t>
      </w:r>
      <w:r w:rsidRPr="000824FE">
        <w:rPr>
          <w:rFonts w:ascii="Arial" w:hAnsi="Arial" w:cs="Arial"/>
          <w:sz w:val="20"/>
          <w:szCs w:val="20"/>
        </w:rPr>
        <w:t xml:space="preserve"> sample sizes</w:t>
      </w:r>
      <w:r w:rsidR="00744923">
        <w:rPr>
          <w:rFonts w:ascii="Arial" w:hAnsi="Arial" w:cs="Arial"/>
          <w:sz w:val="20"/>
          <w:szCs w:val="20"/>
        </w:rPr>
        <w:t>. For example</w:t>
      </w:r>
      <w:r w:rsidR="00832082">
        <w:rPr>
          <w:rFonts w:ascii="Arial" w:hAnsi="Arial" w:cs="Arial"/>
          <w:sz w:val="20"/>
          <w:szCs w:val="20"/>
        </w:rPr>
        <w:t>:</w:t>
      </w:r>
    </w:p>
    <w:p w14:paraId="283305D7" w14:textId="3CD2DB2A" w:rsidR="00877644" w:rsidRPr="000824FE" w:rsidRDefault="00D21F8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824FE">
        <w:rPr>
          <w:rFonts w:ascii="Arial" w:hAnsi="Arial" w:cs="Arial"/>
          <w:sz w:val="20"/>
          <w:szCs w:val="20"/>
        </w:rPr>
        <w:t xml:space="preserve"> </w:t>
      </w:r>
    </w:p>
    <w:p w14:paraId="08D61CF4" w14:textId="2CE4C445" w:rsidR="00832082" w:rsidRDefault="00832082" w:rsidP="0083208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 a literature of this field, 295 units from 5 WT mice and 409 units from 5 Shank2-KO mice were used for initial genotypic comparisons, whereas 163 units from 4 EYFP Shank2-KO PV-cre mice and 364 units from 9 ChR2 Shank2-KO PV-cre mice were used further rescue experiment analysis </w:t>
      </w:r>
      <w:r>
        <w:rPr>
          <w:rFonts w:ascii="Arial" w:hAnsi="Arial" w:cs="Arial"/>
          <w:sz w:val="20"/>
          <w:szCs w:val="20"/>
        </w:rPr>
        <w:fldChar w:fldCharType="begin">
          <w:fldData xml:space="preserve">PEVuZE5vdGU+PENpdGU+PEF1dGhvcj5MZWU8L0F1dGhvcj48WWVhcj4yMDIxPC9ZZWFyPjxSZWNO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</w:fldData>
        </w:fldChar>
      </w:r>
      <w:r>
        <w:rPr>
          <w:rFonts w:ascii="Arial" w:hAnsi="Arial" w:cs="Arial"/>
          <w:sz w:val="20"/>
          <w:szCs w:val="20"/>
        </w:rPr>
        <w:instrText xml:space="preserve"> ADDIN EN.CITE </w:instrText>
      </w:r>
      <w:r>
        <w:rPr>
          <w:rFonts w:ascii="Arial" w:hAnsi="Arial" w:cs="Arial"/>
          <w:sz w:val="20"/>
          <w:szCs w:val="20"/>
        </w:rPr>
        <w:fldChar w:fldCharType="begin">
          <w:fldData xml:space="preserve">PEVuZE5vdGU+PENpdGU+PEF1dGhvcj5MZWU8L0F1dGhvcj48WWVhcj4yMDIxPC9ZZWFyPjxSZWNO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</w:fldData>
        </w:fldChar>
      </w:r>
      <w:r>
        <w:rPr>
          <w:rFonts w:ascii="Arial" w:hAnsi="Arial" w:cs="Arial"/>
          <w:sz w:val="20"/>
          <w:szCs w:val="20"/>
        </w:rPr>
        <w:instrText xml:space="preserve"> ADDIN EN.CITE.DATA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(Lee et al., 2021)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14:paraId="19217776" w14:textId="77777777" w:rsidR="00832082" w:rsidRPr="00CA1148" w:rsidRDefault="00832082" w:rsidP="0083208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 another literature of this field, 194 units from 6 mice were used for initial WT analysis, whereas 159 units from 5 WT mice and 131 units from 6 Cntnap-KO mice were used for further genotypic comparisons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ADDIN EN.CITE &lt;EndNote&gt;&lt;Cite&gt;&lt;Author&gt;Levy&lt;/Author&gt;&lt;Year&gt;2019&lt;/Year&gt;&lt;RecNum&gt;15&lt;/RecNum&gt;&lt;DisplayText&gt;(Levy et al., 2019)&lt;/DisplayText&gt;&lt;record&gt;&lt;rec-number&gt;15&lt;/rec-number&gt;&lt;foreign-keys&gt;&lt;key app="EN" db-id="9vsasptetsdfv2eeswvx9d5srspse2df0zs9" timestamp="1634103783"&gt;15&lt;/key&gt;&lt;key app="ENWeb" db-id=""&gt;0&lt;/key&gt;&lt;/foreign-keys&gt;&lt;ref-type name="Journal Article"&gt;17&lt;/ref-type&gt;&lt;contributors&gt;&lt;authors&gt;&lt;author&gt;Levy, D. R.&lt;/author&gt;&lt;author&gt;Tamir, T.&lt;/author&gt;&lt;author&gt;Kaufman, M.&lt;/author&gt;&lt;author&gt;Parabucki, A.&lt;/author&gt;&lt;author&gt;Weissbrod, A.&lt;/author&gt;&lt;author&gt;Schneidman, E.&lt;/author&gt;&lt;author&gt;Yizhar, O.&lt;/author&gt;&lt;/authors&gt;&lt;/contributors&gt;&lt;auth-address&gt;Department of Neurobiology, Weizmann Institute of Science, Rehovot, Israel.&amp;#xD;Department of Neurobiology, Weizmann Institute of Science, Rehovot, Israel. ofer.yizhar@weizmann.ac.il.&lt;/auth-address&gt;&lt;titles&gt;&lt;title&gt;Dynamics of social representation in the mouse prefrontal cortex&lt;/title&gt;&lt;secondary-title&gt;Nat Neurosci&lt;/secondary-title&gt;&lt;/titles&gt;&lt;periodical&gt;&lt;full-title&gt;Nat Neurosci&lt;/full-title&gt;&lt;/periodical&gt;&lt;pages&gt;2013-2022&lt;/pages&gt;&lt;volume&gt;22&lt;/volume&gt;&lt;number&gt;12&lt;/number&gt;&lt;keywords&gt;&lt;keyword&gt;Animals&lt;/keyword&gt;&lt;keyword&gt;Cues&lt;/keyword&gt;&lt;keyword&gt;Male&lt;/keyword&gt;&lt;keyword&gt;Membrane Proteins/genetics/*physiology&lt;/keyword&gt;&lt;keyword&gt;Mice&lt;/keyword&gt;&lt;keyword&gt;Mice, Knockout&lt;/keyword&gt;&lt;keyword&gt;Nerve Tissue Proteins/genetics/*physiology&lt;/keyword&gt;&lt;keyword&gt;Olfactory Perception/genetics/*physiology&lt;/keyword&gt;&lt;keyword&gt;Prefrontal Cortex/*physiology&lt;/keyword&gt;&lt;keyword&gt;*Social Behavior&lt;/keyword&gt;&lt;/keywords&gt;&lt;dates&gt;&lt;year&gt;2019&lt;/year&gt;&lt;pub-dates&gt;&lt;date&gt;Dec&lt;/date&gt;&lt;/pub-dates&gt;&lt;/dates&gt;&lt;isbn&gt;1546-1726 (Electronic)&amp;#xD;1097-6256 (Linking)&lt;/isbn&gt;&lt;accession-num&gt;31768051&lt;/accession-num&gt;&lt;urls&gt;&lt;related-urls&gt;&lt;url&gt;https://www.ncbi.nlm.nih.gov/pubmed/31768051&lt;/url&gt;&lt;url&gt;https://www.nature.com/articles/s41593-019-0531-z.pdf&lt;/url&gt;&lt;/related-urls&gt;&lt;/urls&gt;&lt;electronic-resource-num&gt;10.1038/s41593-019-0531-z&lt;/electronic-resource-num&gt;&lt;/record&gt;&lt;/Cite&gt;&lt;/EndNote&gt;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(Levy et al., 2019)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</w:t>
      </w:r>
    </w:p>
    <w:p w14:paraId="79A0B353" w14:textId="77777777" w:rsidR="000824FE" w:rsidRPr="000824FE" w:rsidRDefault="000824F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32C5731" w14:textId="1095A540" w:rsidR="00D21F88" w:rsidRDefault="00D21F8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0824FE">
        <w:rPr>
          <w:rFonts w:ascii="Arial" w:hAnsi="Arial" w:cs="Arial"/>
          <w:b/>
          <w:sz w:val="20"/>
          <w:szCs w:val="20"/>
        </w:rPr>
        <w:t>1) Animal behavior data:</w:t>
      </w:r>
      <w:r w:rsidRPr="000824FE">
        <w:rPr>
          <w:rFonts w:ascii="Arial" w:hAnsi="Arial" w:cs="Arial"/>
          <w:sz w:val="20"/>
          <w:szCs w:val="20"/>
        </w:rPr>
        <w:t xml:space="preserve"> </w:t>
      </w:r>
      <w:r w:rsidR="00CA1148">
        <w:rPr>
          <w:rFonts w:ascii="Arial" w:hAnsi="Arial" w:cs="Arial"/>
          <w:sz w:val="20"/>
          <w:szCs w:val="20"/>
        </w:rPr>
        <w:t>We used at least 6 animals for each group ([WT] n = 6, [IRSp53-KO] n = 8) and performed 12 repeated recordings for each animal with 3-day intervals.</w:t>
      </w:r>
    </w:p>
    <w:p w14:paraId="57F1331C" w14:textId="77777777" w:rsidR="00DE7915" w:rsidRDefault="00DE791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9A4B37A" w14:textId="3021E26C" w:rsidR="00974D36" w:rsidRDefault="00CA114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CA1148">
        <w:rPr>
          <w:rFonts w:ascii="Arial" w:hAnsi="Arial" w:cs="Arial"/>
          <w:b/>
          <w:sz w:val="20"/>
          <w:szCs w:val="20"/>
        </w:rPr>
        <w:t xml:space="preserve">2) Single-unit recording data: </w:t>
      </w:r>
      <w:r>
        <w:rPr>
          <w:rFonts w:ascii="Arial" w:hAnsi="Arial" w:cs="Arial"/>
          <w:sz w:val="20"/>
          <w:szCs w:val="20"/>
        </w:rPr>
        <w:t xml:space="preserve">We </w:t>
      </w:r>
      <w:r w:rsidR="001E3AEE">
        <w:rPr>
          <w:rFonts w:ascii="Arial" w:hAnsi="Arial" w:cs="Arial"/>
          <w:sz w:val="20"/>
          <w:szCs w:val="20"/>
        </w:rPr>
        <w:t>collected neural data from</w:t>
      </w:r>
      <w:r>
        <w:rPr>
          <w:rFonts w:ascii="Arial" w:hAnsi="Arial" w:cs="Arial"/>
          <w:sz w:val="20"/>
          <w:szCs w:val="20"/>
        </w:rPr>
        <w:t xml:space="preserve"> </w:t>
      </w:r>
      <w:r w:rsidR="00E74E0D">
        <w:rPr>
          <w:rFonts w:ascii="Arial" w:hAnsi="Arial" w:cs="Arial"/>
          <w:sz w:val="20"/>
          <w:szCs w:val="20"/>
        </w:rPr>
        <w:t>220</w:t>
      </w:r>
      <w:r w:rsidR="00BF3E1B">
        <w:rPr>
          <w:rFonts w:ascii="Arial" w:hAnsi="Arial" w:cs="Arial"/>
          <w:sz w:val="20"/>
          <w:szCs w:val="20"/>
        </w:rPr>
        <w:t>–</w:t>
      </w:r>
      <w:r w:rsidR="00E74E0D">
        <w:rPr>
          <w:rFonts w:ascii="Arial" w:hAnsi="Arial" w:cs="Arial"/>
          <w:sz w:val="20"/>
          <w:szCs w:val="20"/>
        </w:rPr>
        <w:t>270</w:t>
      </w:r>
      <w:r w:rsidR="00BF3E1B">
        <w:rPr>
          <w:rFonts w:ascii="Arial" w:hAnsi="Arial" w:cs="Arial"/>
          <w:sz w:val="20"/>
          <w:szCs w:val="20"/>
        </w:rPr>
        <w:t xml:space="preserve"> </w:t>
      </w:r>
      <w:r w:rsidR="00813318">
        <w:rPr>
          <w:rFonts w:ascii="Arial" w:hAnsi="Arial" w:cs="Arial"/>
          <w:sz w:val="20"/>
          <w:szCs w:val="20"/>
        </w:rPr>
        <w:t>unit</w:t>
      </w:r>
      <w:r>
        <w:rPr>
          <w:rFonts w:ascii="Arial" w:hAnsi="Arial" w:cs="Arial"/>
          <w:sz w:val="20"/>
          <w:szCs w:val="20"/>
        </w:rPr>
        <w:t xml:space="preserve">s for each group ([WT] n = 233, [IRSp53-KO] n = 258) from 6 WT and 8 IRSp53-KO mice across 12 recordings. </w:t>
      </w:r>
    </w:p>
    <w:p w14:paraId="0781143D" w14:textId="0A724460" w:rsidR="00974D36" w:rsidRDefault="00974D3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CB5C777" w14:textId="18907A12" w:rsidR="00BF3E1B" w:rsidRDefault="00BF3E1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on the sample size are stated in the figure legends and supplementary file 1 and 2.</w:t>
      </w:r>
    </w:p>
    <w:p w14:paraId="4EE0F2E4" w14:textId="77777777" w:rsidR="00BF3E1B" w:rsidRPr="00832082" w:rsidRDefault="00BF3E1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A155487" w14:textId="77777777" w:rsidR="00832082" w:rsidRPr="00832082" w:rsidRDefault="00832082" w:rsidP="00832082">
      <w:pPr>
        <w:pStyle w:val="EndNoteBibliography"/>
        <w:framePr w:wrap="around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32082">
        <w:rPr>
          <w:rFonts w:ascii="Arial" w:hAnsi="Arial" w:cs="Arial"/>
          <w:sz w:val="20"/>
          <w:szCs w:val="20"/>
        </w:rPr>
        <w:fldChar w:fldCharType="begin"/>
      </w:r>
      <w:r w:rsidRPr="00832082">
        <w:rPr>
          <w:rFonts w:ascii="Arial" w:hAnsi="Arial" w:cs="Arial"/>
          <w:sz w:val="20"/>
          <w:szCs w:val="20"/>
        </w:rPr>
        <w:instrText xml:space="preserve"> ADDIN EN.REFLIST </w:instrText>
      </w:r>
      <w:r w:rsidRPr="00832082">
        <w:rPr>
          <w:rFonts w:ascii="Arial" w:hAnsi="Arial" w:cs="Arial"/>
          <w:sz w:val="20"/>
          <w:szCs w:val="20"/>
        </w:rPr>
        <w:fldChar w:fldCharType="separate"/>
      </w:r>
      <w:r w:rsidRPr="00832082">
        <w:rPr>
          <w:rFonts w:ascii="Arial" w:hAnsi="Arial" w:cs="Arial"/>
          <w:sz w:val="20"/>
          <w:szCs w:val="20"/>
        </w:rPr>
        <w:t>Lee, E., Lee, S., Shin, J.J., Choi, W., Chung, C., Lee, S., Kim, J., Ha, S., Kim, R., Yoo, T.</w:t>
      </w:r>
      <w:r w:rsidRPr="00832082">
        <w:rPr>
          <w:rFonts w:ascii="Arial" w:hAnsi="Arial" w:cs="Arial"/>
          <w:i/>
          <w:sz w:val="20"/>
          <w:szCs w:val="20"/>
        </w:rPr>
        <w:t>, et al.</w:t>
      </w:r>
      <w:r w:rsidRPr="00832082">
        <w:rPr>
          <w:rFonts w:ascii="Arial" w:hAnsi="Arial" w:cs="Arial"/>
          <w:sz w:val="20"/>
          <w:szCs w:val="20"/>
        </w:rPr>
        <w:t xml:space="preserve"> (2021). Excitatory synapses and gap junctions cooperate to improve Pv neuronal burst firing and cortical social cognition in Shank2-mutant mice. Nat Commun</w:t>
      </w:r>
      <w:r w:rsidRPr="00832082">
        <w:rPr>
          <w:rFonts w:ascii="Arial" w:hAnsi="Arial" w:cs="Arial"/>
          <w:i/>
          <w:sz w:val="20"/>
          <w:szCs w:val="20"/>
        </w:rPr>
        <w:t xml:space="preserve"> 12</w:t>
      </w:r>
      <w:r w:rsidRPr="00832082">
        <w:rPr>
          <w:rFonts w:ascii="Arial" w:hAnsi="Arial" w:cs="Arial"/>
          <w:sz w:val="20"/>
          <w:szCs w:val="20"/>
        </w:rPr>
        <w:t>, 5116.</w:t>
      </w:r>
    </w:p>
    <w:p w14:paraId="1F58B056" w14:textId="44D0C620" w:rsidR="00832082" w:rsidRDefault="00832082" w:rsidP="00832082">
      <w:pPr>
        <w:pStyle w:val="EndNoteBibliography"/>
        <w:framePr w:wrap="around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32082">
        <w:rPr>
          <w:rFonts w:ascii="Arial" w:hAnsi="Arial" w:cs="Arial"/>
          <w:sz w:val="20"/>
          <w:szCs w:val="20"/>
        </w:rPr>
        <w:t>Levy, D.R., Tamir, T., Kaufman, M., Parabucki, A., Weissbrod, A., Schneidman, E., and Yizhar, O. (2019). Dynamics of social representation in the mouse prefrontal cortex. Nat Neurosci</w:t>
      </w:r>
      <w:r w:rsidRPr="00832082">
        <w:rPr>
          <w:rFonts w:ascii="Arial" w:hAnsi="Arial" w:cs="Arial"/>
          <w:i/>
          <w:sz w:val="20"/>
          <w:szCs w:val="20"/>
        </w:rPr>
        <w:t xml:space="preserve"> 22</w:t>
      </w:r>
      <w:r w:rsidRPr="00832082">
        <w:rPr>
          <w:rFonts w:ascii="Arial" w:hAnsi="Arial" w:cs="Arial"/>
          <w:sz w:val="20"/>
          <w:szCs w:val="20"/>
        </w:rPr>
        <w:t>, 2013-2022.</w:t>
      </w:r>
    </w:p>
    <w:p w14:paraId="184D8D06" w14:textId="77777777" w:rsidR="00DE7915" w:rsidRPr="00832082" w:rsidRDefault="00DE7915" w:rsidP="00832082">
      <w:pPr>
        <w:pStyle w:val="EndNoteBibliography"/>
        <w:framePr w:wrap="around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C97887E" w14:textId="78002C51" w:rsidR="005F2B0F" w:rsidRDefault="0083208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32082">
        <w:rPr>
          <w:rFonts w:ascii="Arial" w:hAnsi="Arial" w:cs="Arial"/>
          <w:sz w:val="20"/>
          <w:szCs w:val="20"/>
        </w:rPr>
        <w:fldChar w:fldCharType="end"/>
      </w:r>
      <w:r w:rsidR="005F2B0F" w:rsidRPr="005F2B0F">
        <w:rPr>
          <w:rFonts w:ascii="Arial" w:hAnsi="Arial" w:cs="Arial"/>
          <w:b/>
          <w:bCs/>
          <w:sz w:val="20"/>
          <w:szCs w:val="20"/>
        </w:rPr>
        <w:t>3) Slice electrophysiology data</w:t>
      </w:r>
      <w:r w:rsidR="005F2B0F">
        <w:rPr>
          <w:rFonts w:ascii="Arial" w:hAnsi="Arial" w:cs="Arial"/>
          <w:sz w:val="20"/>
          <w:szCs w:val="20"/>
        </w:rPr>
        <w:t>: We collected intrinsic property data from at least 3 animals for each group ([WT] n = 24 neurons from 3 mice, [WT+mem] n = 18, 3, [KO] n = 23, 3, [KO+mem] n = 17, 3).</w:t>
      </w:r>
    </w:p>
    <w:p w14:paraId="301EB373" w14:textId="57184DD6" w:rsidR="00CA1148" w:rsidRPr="00CA1148" w:rsidRDefault="00CA1148" w:rsidP="00FF5ED7">
      <w:pPr>
        <w:rPr>
          <w:rFonts w:asciiTheme="minorHAnsi" w:hAnsiTheme="minorHAnsi"/>
          <w:sz w:val="22"/>
          <w:szCs w:val="22"/>
        </w:rPr>
      </w:pPr>
    </w:p>
    <w:p w14:paraId="32DA9313" w14:textId="77777777" w:rsidR="00BF3E1B" w:rsidRDefault="00BF3E1B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6207056E" w14:textId="0EE99A8C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Replicates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4CC3F887" w14:textId="38000B1A" w:rsidR="00744923" w:rsidRDefault="00744923" w:rsidP="00CA114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Data from the</w:t>
      </w:r>
      <w:r>
        <w:rPr>
          <w:rFonts w:ascii="Arial" w:hAnsi="Arial" w:cs="Arial"/>
          <w:sz w:val="20"/>
          <w:szCs w:val="20"/>
        </w:rPr>
        <w:t xml:space="preserve"> single unit recording experiments were collected from </w:t>
      </w:r>
      <w:r w:rsidR="00E74E0D" w:rsidRPr="00E74E0D">
        <w:rPr>
          <w:rFonts w:ascii="Arial" w:hAnsi="Arial" w:cs="Arial"/>
          <w:sz w:val="20"/>
          <w:szCs w:val="20"/>
        </w:rPr>
        <w:t>3 separate cohorts</w:t>
      </w:r>
      <w:r>
        <w:rPr>
          <w:rFonts w:ascii="Arial" w:hAnsi="Arial" w:cs="Arial"/>
          <w:sz w:val="20"/>
          <w:szCs w:val="20"/>
        </w:rPr>
        <w:t xml:space="preserve">. </w:t>
      </w:r>
      <w:r w:rsidRPr="000824FE">
        <w:rPr>
          <w:rFonts w:ascii="Arial" w:hAnsi="Arial" w:cs="Arial"/>
          <w:sz w:val="20"/>
          <w:szCs w:val="20"/>
        </w:rPr>
        <w:t>The animal number for each cohort was determined by the available number of littermates (of s</w:t>
      </w:r>
      <w:r>
        <w:rPr>
          <w:rFonts w:ascii="Arial" w:hAnsi="Arial" w:cs="Arial"/>
          <w:sz w:val="20"/>
          <w:szCs w:val="20"/>
        </w:rPr>
        <w:t>ame</w:t>
      </w:r>
      <w:r w:rsidRPr="000824FE">
        <w:rPr>
          <w:rFonts w:ascii="Arial" w:hAnsi="Arial" w:cs="Arial"/>
          <w:sz w:val="20"/>
          <w:szCs w:val="20"/>
        </w:rPr>
        <w:t xml:space="preserve"> age, size, and gender) at the time of experiment. </w:t>
      </w:r>
      <w:r w:rsidR="001C0797">
        <w:rPr>
          <w:rFonts w:ascii="Arial" w:hAnsi="Arial" w:cs="Arial"/>
          <w:sz w:val="20"/>
          <w:szCs w:val="20"/>
        </w:rPr>
        <w:t>F</w:t>
      </w:r>
      <w:r w:rsidRPr="000824FE">
        <w:rPr>
          <w:rFonts w:ascii="Arial" w:hAnsi="Arial" w:cs="Arial"/>
          <w:sz w:val="20"/>
          <w:szCs w:val="20"/>
        </w:rPr>
        <w:t xml:space="preserve">airly balanced numbers of WT and IRSp53-KO mice were used for each cohort, and the </w:t>
      </w:r>
      <w:r>
        <w:rPr>
          <w:rFonts w:ascii="Arial" w:hAnsi="Arial" w:cs="Arial"/>
          <w:sz w:val="20"/>
          <w:szCs w:val="20"/>
        </w:rPr>
        <w:t xml:space="preserve">raw </w:t>
      </w:r>
      <w:r w:rsidRPr="000824FE">
        <w:rPr>
          <w:rFonts w:ascii="Arial" w:hAnsi="Arial" w:cs="Arial"/>
          <w:sz w:val="20"/>
          <w:szCs w:val="20"/>
        </w:rPr>
        <w:t xml:space="preserve">data was harvested by one researcher in a controlled time window (a total of </w:t>
      </w:r>
      <w:r w:rsidRPr="00E74E0D">
        <w:rPr>
          <w:rFonts w:ascii="Arial" w:hAnsi="Arial" w:cs="Arial"/>
          <w:sz w:val="20"/>
          <w:szCs w:val="20"/>
        </w:rPr>
        <w:t>12 recordings with 3-day intervals</w:t>
      </w:r>
      <w:r w:rsidRPr="000824F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and experimental setting</w:t>
      </w:r>
      <w:r w:rsidRPr="000824FE">
        <w:rPr>
          <w:rFonts w:ascii="Arial" w:hAnsi="Arial" w:cs="Arial"/>
          <w:sz w:val="20"/>
          <w:szCs w:val="20"/>
        </w:rPr>
        <w:t>.</w:t>
      </w:r>
      <w:r w:rsidR="001C07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Detailed information on the number of units collected from individual mice from </w:t>
      </w:r>
      <w:r w:rsidR="001C0797">
        <w:rPr>
          <w:rFonts w:ascii="Arial" w:hAnsi="Arial" w:cs="Arial"/>
          <w:sz w:val="20"/>
          <w:szCs w:val="20"/>
        </w:rPr>
        <w:t>individual</w:t>
      </w:r>
      <w:r>
        <w:rPr>
          <w:rFonts w:ascii="Arial" w:hAnsi="Arial" w:cs="Arial"/>
          <w:sz w:val="20"/>
          <w:szCs w:val="20"/>
        </w:rPr>
        <w:t xml:space="preserve"> cohort</w:t>
      </w:r>
      <w:r w:rsidR="001C079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is indicated in supplementary file 1. </w:t>
      </w:r>
    </w:p>
    <w:p w14:paraId="056BD075" w14:textId="77777777" w:rsidR="00744923" w:rsidRDefault="00744923" w:rsidP="00CA114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F9A5E40" w14:textId="73B7D998" w:rsidR="00744923" w:rsidRDefault="00744923" w:rsidP="00CA114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each mouse, in order to obtain sufficient number of units, recordings were </w:t>
      </w:r>
      <w:r w:rsidR="00E74E0D" w:rsidRPr="00E74E0D">
        <w:rPr>
          <w:rFonts w:ascii="Arial" w:hAnsi="Arial" w:cs="Arial"/>
          <w:sz w:val="20"/>
          <w:szCs w:val="20"/>
        </w:rPr>
        <w:t>technically replicated 12 times.</w:t>
      </w:r>
      <w:r w:rsidR="001C0797">
        <w:rPr>
          <w:rFonts w:ascii="Arial" w:hAnsi="Arial" w:cs="Arial"/>
          <w:sz w:val="20"/>
          <w:szCs w:val="20"/>
        </w:rPr>
        <w:t xml:space="preserve"> Sniffing trials with the duration of &lt; 1 sec and inter-trial interval of &lt; 2 sec, as well as, in-zone (and center zone) trials with the duration of &lt; 0.5 sec and inter-trial interval of &lt; 0.5 sec were excluded from analysis.</w:t>
      </w:r>
      <w:r w:rsidR="005F2B0F">
        <w:rPr>
          <w:rFonts w:ascii="Arial" w:hAnsi="Arial" w:cs="Arial"/>
          <w:sz w:val="20"/>
          <w:szCs w:val="20"/>
        </w:rPr>
        <w:t xml:space="preserve"> Valid proximal and distal trials with the duration of &lt; 1 sec were excluded from analysis.</w:t>
      </w:r>
      <w:r w:rsidR="001C0797">
        <w:rPr>
          <w:rFonts w:ascii="Arial" w:hAnsi="Arial" w:cs="Arial"/>
          <w:sz w:val="20"/>
          <w:szCs w:val="20"/>
        </w:rPr>
        <w:t xml:space="preserve"> Units with missing valid sniffing and in-zone trials for any of the six targets (left and right for the E-E session, social and object for the first and second S-O sessions) were excluded from analysis. Units with mean firing rate of &lt; 0.5 Hz were excluded for all firing rate analyses except for the initial baseline firing rate analysis in Figure 2. Detailed exclusion criteria are mentioned in the Materials and Methods section.   </w:t>
      </w:r>
    </w:p>
    <w:p w14:paraId="3E1A6B61" w14:textId="2663F499" w:rsidR="0015519A" w:rsidRDefault="0015519A">
      <w:pPr>
        <w:rPr>
          <w:rFonts w:asciiTheme="minorHAnsi" w:hAnsiTheme="minorHAnsi"/>
          <w:b/>
          <w:bCs/>
        </w:rPr>
      </w:pPr>
    </w:p>
    <w:p w14:paraId="2D323921" w14:textId="2C379041" w:rsidR="00877644" w:rsidRDefault="00AF5736" w:rsidP="00125190">
      <w:pPr>
        <w:rPr>
          <w:rFonts w:asciiTheme="minorHAnsi" w:hAnsiTheme="minorHAnsi"/>
          <w:b/>
          <w:bCs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6AA5E414" w14:textId="77777777" w:rsidR="006E0849" w:rsidRPr="006E0849" w:rsidRDefault="006E0849" w:rsidP="00125190">
      <w:pPr>
        <w:rPr>
          <w:rFonts w:asciiTheme="minorHAnsi" w:hAnsiTheme="minorHAnsi"/>
          <w:sz w:val="22"/>
          <w:szCs w:val="22"/>
        </w:rPr>
      </w:pPr>
    </w:p>
    <w:p w14:paraId="7E88A18E" w14:textId="64E294BD" w:rsidR="006E0849" w:rsidRPr="00DE7915" w:rsidRDefault="002028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DE7915">
        <w:rPr>
          <w:rFonts w:ascii="Arial" w:hAnsi="Arial" w:cs="Arial"/>
          <w:sz w:val="20"/>
          <w:szCs w:val="20"/>
          <w:lang w:val="en-GB"/>
        </w:rPr>
        <w:t>Explanations on the s</w:t>
      </w:r>
      <w:r w:rsidRPr="00DE7915">
        <w:rPr>
          <w:rFonts w:ascii="Arial" w:hAnsi="Arial" w:cs="Arial"/>
          <w:sz w:val="20"/>
          <w:szCs w:val="20"/>
        </w:rPr>
        <w:t xml:space="preserve">tatistical analysis are provided in the Materials and Methods section. </w:t>
      </w:r>
    </w:p>
    <w:p w14:paraId="599A2014" w14:textId="56FB932B" w:rsidR="006E0849" w:rsidRPr="00DE7915" w:rsidRDefault="002028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DE7915">
        <w:rPr>
          <w:rFonts w:ascii="Arial" w:hAnsi="Arial" w:cs="Arial"/>
          <w:sz w:val="20"/>
          <w:szCs w:val="20"/>
        </w:rPr>
        <w:t xml:space="preserve">The n numbers and statistical tests used are stated in the figure legends. </w:t>
      </w:r>
      <w:r w:rsidR="006E0849" w:rsidRPr="00DE7915">
        <w:rPr>
          <w:rFonts w:ascii="Arial" w:hAnsi="Arial" w:cs="Arial"/>
          <w:sz w:val="20"/>
          <w:szCs w:val="20"/>
        </w:rPr>
        <w:t>The dispersion and precision measures used for bar graphs (SEM)</w:t>
      </w:r>
      <w:r w:rsidR="00DE7915">
        <w:rPr>
          <w:rFonts w:ascii="Arial" w:hAnsi="Arial" w:cs="Arial"/>
          <w:sz w:val="20"/>
          <w:szCs w:val="20"/>
        </w:rPr>
        <w:t xml:space="preserve">, </w:t>
      </w:r>
      <w:r w:rsidR="006E0849" w:rsidRPr="00DE7915">
        <w:rPr>
          <w:rFonts w:ascii="Arial" w:hAnsi="Arial" w:cs="Arial"/>
          <w:sz w:val="20"/>
          <w:szCs w:val="20"/>
        </w:rPr>
        <w:t>box and whisker plots (median, interquartile range, 2.5 and 97.5 percentile)</w:t>
      </w:r>
      <w:r w:rsidR="00DE7915">
        <w:rPr>
          <w:rFonts w:ascii="Arial" w:hAnsi="Arial" w:cs="Arial"/>
          <w:sz w:val="20"/>
          <w:szCs w:val="20"/>
        </w:rPr>
        <w:t>, and volcano plots (median, interquartile range)</w:t>
      </w:r>
      <w:r w:rsidR="006E0849" w:rsidRPr="00DE7915">
        <w:rPr>
          <w:rFonts w:ascii="Arial" w:hAnsi="Arial" w:cs="Arial"/>
          <w:sz w:val="20"/>
          <w:szCs w:val="20"/>
        </w:rPr>
        <w:t xml:space="preserve"> are stated in the Materials and Method section, or, otherwise, stated in the figure legends.</w:t>
      </w:r>
    </w:p>
    <w:p w14:paraId="2CFD913C" w14:textId="06E13A60" w:rsidR="0020285E" w:rsidRPr="00DE7915" w:rsidRDefault="0020285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DE7915">
        <w:rPr>
          <w:rFonts w:ascii="Arial" w:hAnsi="Arial" w:cs="Arial"/>
          <w:sz w:val="20"/>
          <w:szCs w:val="20"/>
        </w:rPr>
        <w:t>Detailed statistical information (exact p-values and summary statistics) and raw data is organiz</w:t>
      </w:r>
      <w:r w:rsidR="006F4C2D" w:rsidRPr="00DE7915">
        <w:rPr>
          <w:rFonts w:ascii="Arial" w:hAnsi="Arial" w:cs="Arial"/>
          <w:sz w:val="20"/>
          <w:szCs w:val="20"/>
        </w:rPr>
        <w:t>ed in supplementary file 2</w:t>
      </w:r>
      <w:r w:rsidR="00787FE4" w:rsidRPr="00DE7915">
        <w:rPr>
          <w:rFonts w:ascii="Arial" w:hAnsi="Arial" w:cs="Arial"/>
          <w:sz w:val="20"/>
          <w:szCs w:val="20"/>
        </w:rPr>
        <w:t xml:space="preserve"> and source files</w:t>
      </w:r>
      <w:r w:rsidRPr="00DE7915">
        <w:rPr>
          <w:rFonts w:ascii="Arial" w:hAnsi="Arial" w:cs="Arial"/>
          <w:sz w:val="20"/>
          <w:szCs w:val="20"/>
        </w:rPr>
        <w:t>, respectively.</w:t>
      </w:r>
    </w:p>
    <w:p w14:paraId="55276FE7" w14:textId="62F40C7C" w:rsidR="00BC3CCE" w:rsidRDefault="00BC3CCE" w:rsidP="00FF5ED7">
      <w:pPr>
        <w:rPr>
          <w:rFonts w:asciiTheme="minorHAnsi" w:hAnsiTheme="minorHAnsi"/>
          <w:b/>
        </w:rPr>
      </w:pPr>
    </w:p>
    <w:p w14:paraId="5E6492F0" w14:textId="0F9F1136" w:rsidR="008669DA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646400EF" w14:textId="77777777" w:rsidR="00990287" w:rsidRPr="00505C51" w:rsidRDefault="00990287" w:rsidP="00FF5ED7">
      <w:pPr>
        <w:rPr>
          <w:rFonts w:asciiTheme="minorHAnsi" w:hAnsiTheme="minorHAnsi"/>
          <w:b/>
          <w:sz w:val="22"/>
          <w:szCs w:val="22"/>
        </w:rPr>
      </w:pPr>
    </w:p>
    <w:p w14:paraId="1BE90311" w14:textId="65E7FA9B" w:rsidR="00BC3CCE" w:rsidRPr="00DE7915" w:rsidRDefault="004744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Behavior data and single-unit data are allocated into</w:t>
      </w:r>
      <w:r w:rsidR="00990287" w:rsidRPr="00DE7915">
        <w:rPr>
          <w:rFonts w:ascii="Arial" w:hAnsi="Arial" w:cs="Arial"/>
          <w:sz w:val="20"/>
          <w:szCs w:val="20"/>
        </w:rPr>
        <w:t xml:space="preserve"> two groups (WT and IRSp53-KO) based on genotype. </w:t>
      </w:r>
      <w:r>
        <w:rPr>
          <w:rFonts w:ascii="Arial" w:hAnsi="Arial" w:cs="Arial"/>
          <w:sz w:val="20"/>
          <w:szCs w:val="20"/>
        </w:rPr>
        <w:t>Electrophysiological data are allocated into four groups (WT, IRSp53-KO, WT+memantine, IRSp53-KO+memantine) based on genotype and memantine (drug) presence</w:t>
      </w:r>
      <w:r w:rsidR="00990287" w:rsidRPr="00DE7915">
        <w:rPr>
          <w:rFonts w:ascii="Arial" w:hAnsi="Arial" w:cs="Arial"/>
          <w:sz w:val="20"/>
          <w:szCs w:val="20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005A43F9" w:rsidR="00877644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21EE5EAE" w14:textId="77777777" w:rsidR="006E0849" w:rsidRPr="00505C51" w:rsidRDefault="006E0849" w:rsidP="00877644">
      <w:pPr>
        <w:rPr>
          <w:rFonts w:asciiTheme="minorHAnsi" w:hAnsiTheme="minorHAnsi"/>
          <w:b/>
          <w:sz w:val="22"/>
          <w:szCs w:val="22"/>
        </w:rPr>
      </w:pPr>
    </w:p>
    <w:p w14:paraId="20EBBB19" w14:textId="0C2E1865" w:rsidR="006E0849" w:rsidRPr="00DE7915" w:rsidRDefault="006E0849" w:rsidP="006E084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DE7915">
        <w:rPr>
          <w:rFonts w:ascii="Arial" w:hAnsi="Arial" w:cs="Arial"/>
          <w:sz w:val="20"/>
          <w:szCs w:val="20"/>
        </w:rPr>
        <w:t>Source data files for all figures</w:t>
      </w:r>
      <w:r w:rsidR="00D61155" w:rsidRPr="00DE7915">
        <w:rPr>
          <w:rFonts w:ascii="Arial" w:hAnsi="Arial" w:cs="Arial"/>
          <w:sz w:val="20"/>
          <w:szCs w:val="20"/>
        </w:rPr>
        <w:t xml:space="preserve"> (except Figure 1 – Figure Supplement 1</w:t>
      </w:r>
      <w:r w:rsidR="005951BD">
        <w:rPr>
          <w:rFonts w:ascii="Arial" w:hAnsi="Arial" w:cs="Arial"/>
          <w:sz w:val="20"/>
          <w:szCs w:val="20"/>
        </w:rPr>
        <w:t>, Figure 3, Figure 3 – Figure Supplement 2</w:t>
      </w:r>
      <w:r w:rsidR="00D61155" w:rsidRPr="00DE7915">
        <w:rPr>
          <w:rFonts w:ascii="Arial" w:hAnsi="Arial" w:cs="Arial"/>
          <w:sz w:val="20"/>
          <w:szCs w:val="20"/>
        </w:rPr>
        <w:t>)</w:t>
      </w:r>
      <w:r w:rsidRPr="00DE7915">
        <w:rPr>
          <w:rFonts w:ascii="Arial" w:hAnsi="Arial" w:cs="Arial"/>
          <w:sz w:val="20"/>
          <w:szCs w:val="20"/>
        </w:rPr>
        <w:t xml:space="preserve"> are organized in</w:t>
      </w:r>
      <w:r w:rsidR="00D61155" w:rsidRPr="00DE7915">
        <w:rPr>
          <w:rFonts w:ascii="Arial" w:hAnsi="Arial" w:cs="Arial"/>
          <w:sz w:val="20"/>
          <w:szCs w:val="20"/>
        </w:rPr>
        <w:t xml:space="preserve"> separate</w:t>
      </w:r>
      <w:r w:rsidRPr="00DE7915">
        <w:rPr>
          <w:rFonts w:ascii="Arial" w:hAnsi="Arial" w:cs="Arial"/>
          <w:sz w:val="20"/>
          <w:szCs w:val="20"/>
        </w:rPr>
        <w:t xml:space="preserve"> </w:t>
      </w:r>
      <w:r w:rsidR="00D61155" w:rsidRPr="00DE7915">
        <w:rPr>
          <w:rFonts w:ascii="Arial" w:hAnsi="Arial" w:cs="Arial"/>
          <w:sz w:val="20"/>
          <w:szCs w:val="20"/>
        </w:rPr>
        <w:t>source file</w:t>
      </w:r>
      <w:bookmarkStart w:id="0" w:name="_GoBack"/>
      <w:bookmarkEnd w:id="0"/>
      <w:r w:rsidR="00D61155" w:rsidRPr="00DE7915">
        <w:rPr>
          <w:rFonts w:ascii="Arial" w:hAnsi="Arial" w:cs="Arial"/>
          <w:sz w:val="20"/>
          <w:szCs w:val="20"/>
        </w:rPr>
        <w:t>s</w:t>
      </w:r>
      <w:r w:rsidRPr="00DE7915">
        <w:rPr>
          <w:rFonts w:ascii="Arial" w:hAnsi="Arial" w:cs="Arial"/>
          <w:sz w:val="20"/>
          <w:szCs w:val="20"/>
        </w:rPr>
        <w:t xml:space="preserve">.  </w:t>
      </w:r>
    </w:p>
    <w:p w14:paraId="79372AE1" w14:textId="77777777" w:rsidR="00974D36" w:rsidRDefault="00974D36" w:rsidP="00A62B52">
      <w:pPr>
        <w:rPr>
          <w:rFonts w:asciiTheme="minorHAnsi" w:hAnsiTheme="minorHAnsi"/>
          <w:sz w:val="22"/>
          <w:szCs w:val="22"/>
        </w:rPr>
      </w:pPr>
    </w:p>
    <w:p w14:paraId="23892833" w14:textId="77777777" w:rsidR="00974D36" w:rsidRDefault="00974D36" w:rsidP="00A62B52">
      <w:pPr>
        <w:rPr>
          <w:rFonts w:asciiTheme="minorHAnsi" w:hAnsiTheme="minorHAnsi"/>
          <w:sz w:val="22"/>
          <w:szCs w:val="22"/>
        </w:rPr>
      </w:pPr>
    </w:p>
    <w:p w14:paraId="20587CEC" w14:textId="77777777" w:rsidR="00832082" w:rsidRDefault="00832082" w:rsidP="00A62B52">
      <w:pPr>
        <w:rPr>
          <w:rFonts w:asciiTheme="minorHAnsi" w:hAnsiTheme="minorHAnsi"/>
          <w:sz w:val="22"/>
          <w:szCs w:val="22"/>
        </w:rPr>
      </w:pPr>
    </w:p>
    <w:p w14:paraId="5EC267FF" w14:textId="77777777" w:rsidR="00832082" w:rsidRDefault="00832082" w:rsidP="00A62B52">
      <w:pPr>
        <w:rPr>
          <w:rFonts w:asciiTheme="minorHAnsi" w:hAnsiTheme="minorHAnsi"/>
          <w:sz w:val="22"/>
          <w:szCs w:val="22"/>
        </w:rPr>
      </w:pPr>
    </w:p>
    <w:p w14:paraId="08C9EF2F" w14:textId="1AB61F5D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DAE6" w14:textId="77777777" w:rsidR="00CD726C" w:rsidRDefault="00CD726C" w:rsidP="004215FE">
      <w:r>
        <w:separator/>
      </w:r>
    </w:p>
  </w:endnote>
  <w:endnote w:type="continuationSeparator" w:id="0">
    <w:p w14:paraId="03981515" w14:textId="77777777" w:rsidR="00CD726C" w:rsidRDefault="00CD726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1AE27AA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5951BD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7BCF" w14:textId="77777777" w:rsidR="00CD726C" w:rsidRDefault="00CD726C" w:rsidP="004215FE">
      <w:r>
        <w:separator/>
      </w:r>
    </w:p>
  </w:footnote>
  <w:footnote w:type="continuationSeparator" w:id="0">
    <w:p w14:paraId="06F7162B" w14:textId="77777777" w:rsidR="00CD726C" w:rsidRDefault="00CD726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ko-K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vsasptetsdfv2eeswvx9d5srspse2df0zs9&quot;&gt;My EndNote Library&lt;record-ids&gt;&lt;item&gt;15&lt;/item&gt;&lt;item&gt;93&lt;/item&gt;&lt;/record-ids&gt;&lt;/item&gt;&lt;/Libraries&gt;"/>
  </w:docVars>
  <w:rsids>
    <w:rsidRoot w:val="004215FE"/>
    <w:rsid w:val="00004579"/>
    <w:rsid w:val="00006DB8"/>
    <w:rsid w:val="00022DC0"/>
    <w:rsid w:val="00062DBF"/>
    <w:rsid w:val="000824FE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0797"/>
    <w:rsid w:val="001E1D59"/>
    <w:rsid w:val="001E3AEE"/>
    <w:rsid w:val="0020285E"/>
    <w:rsid w:val="00212F30"/>
    <w:rsid w:val="00217B9E"/>
    <w:rsid w:val="002336C6"/>
    <w:rsid w:val="00241081"/>
    <w:rsid w:val="00266462"/>
    <w:rsid w:val="002A068D"/>
    <w:rsid w:val="002A0ED1"/>
    <w:rsid w:val="002A7487"/>
    <w:rsid w:val="002B4698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41D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51BD"/>
    <w:rsid w:val="005B0A15"/>
    <w:rsid w:val="005C12DA"/>
    <w:rsid w:val="005F2B0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0849"/>
    <w:rsid w:val="006E4A6C"/>
    <w:rsid w:val="006E6B2A"/>
    <w:rsid w:val="006F4C2D"/>
    <w:rsid w:val="00700103"/>
    <w:rsid w:val="007137E1"/>
    <w:rsid w:val="00744923"/>
    <w:rsid w:val="00762B36"/>
    <w:rsid w:val="00763BA5"/>
    <w:rsid w:val="0076524F"/>
    <w:rsid w:val="00767B26"/>
    <w:rsid w:val="00787FE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3318"/>
    <w:rsid w:val="0082410E"/>
    <w:rsid w:val="0083208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4D36"/>
    <w:rsid w:val="00990287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3E1B"/>
    <w:rsid w:val="00C1184B"/>
    <w:rsid w:val="00C21D14"/>
    <w:rsid w:val="00C24CF7"/>
    <w:rsid w:val="00C42ECB"/>
    <w:rsid w:val="00C52A77"/>
    <w:rsid w:val="00C820B0"/>
    <w:rsid w:val="00CA1148"/>
    <w:rsid w:val="00CC6EF3"/>
    <w:rsid w:val="00CD6AEC"/>
    <w:rsid w:val="00CD726C"/>
    <w:rsid w:val="00CE6849"/>
    <w:rsid w:val="00CF4BBE"/>
    <w:rsid w:val="00CF6CB5"/>
    <w:rsid w:val="00D10224"/>
    <w:rsid w:val="00D21F88"/>
    <w:rsid w:val="00D44612"/>
    <w:rsid w:val="00D44BDE"/>
    <w:rsid w:val="00D50299"/>
    <w:rsid w:val="00D61155"/>
    <w:rsid w:val="00D74320"/>
    <w:rsid w:val="00D779BF"/>
    <w:rsid w:val="00D83D45"/>
    <w:rsid w:val="00D93937"/>
    <w:rsid w:val="00DA4943"/>
    <w:rsid w:val="00DE207A"/>
    <w:rsid w:val="00DE2719"/>
    <w:rsid w:val="00DE7915"/>
    <w:rsid w:val="00DF1913"/>
    <w:rsid w:val="00E007B4"/>
    <w:rsid w:val="00E234CA"/>
    <w:rsid w:val="00E41364"/>
    <w:rsid w:val="00E61AB4"/>
    <w:rsid w:val="00E70517"/>
    <w:rsid w:val="00E74E0D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D025F13-C76F-4F85-9B0C-6688E779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메모 텍스트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메모 주제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974D36"/>
    <w:pPr>
      <w:framePr w:w="7817" w:h="1088" w:hSpace="180" w:wrap="around" w:vAnchor="text" w:hAnchor="page" w:x="1858" w:y="1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74D36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974D36"/>
    <w:pPr>
      <w:framePr w:w="7817" w:h="1088" w:hSpace="180" w:wrap="around" w:vAnchor="text" w:hAnchor="page" w:x="1858" w:y="1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974D36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6BADFD-E624-4030-9F48-EE8139E4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7518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csbd</cp:lastModifiedBy>
  <cp:revision>36</cp:revision>
  <dcterms:created xsi:type="dcterms:W3CDTF">2017-06-13T14:43:00Z</dcterms:created>
  <dcterms:modified xsi:type="dcterms:W3CDTF">2022-10-18T04:04:00Z</dcterms:modified>
</cp:coreProperties>
</file>