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EC01F3F" w14:textId="77777777" w:rsidR="00434B54" w:rsidRDefault="00434B5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66FA835" w14:textId="04DD10E1" w:rsidR="00135423" w:rsidRDefault="00823A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A424A7">
        <w:rPr>
          <w:rFonts w:asciiTheme="minorHAnsi" w:hAnsiTheme="minorHAnsi"/>
        </w:rPr>
        <w:t xml:space="preserve">study adopted a sample size based on </w:t>
      </w:r>
      <w:r w:rsidR="002831F5">
        <w:rPr>
          <w:rFonts w:asciiTheme="minorHAnsi" w:hAnsiTheme="minorHAnsi"/>
        </w:rPr>
        <w:t>those</w:t>
      </w:r>
      <w:r w:rsidR="00A424A7">
        <w:rPr>
          <w:rFonts w:asciiTheme="minorHAnsi" w:hAnsiTheme="minorHAnsi"/>
        </w:rPr>
        <w:t xml:space="preserve"> in previous studies that </w:t>
      </w:r>
      <w:r w:rsidR="00400A79">
        <w:rPr>
          <w:rFonts w:asciiTheme="minorHAnsi" w:hAnsiTheme="minorHAnsi"/>
        </w:rPr>
        <w:t>involved applying rTMS to the intraparietal region</w:t>
      </w:r>
      <w:r w:rsidR="00A424A7">
        <w:rPr>
          <w:rFonts w:asciiTheme="minorHAnsi" w:hAnsiTheme="minorHAnsi"/>
        </w:rPr>
        <w:t>.</w:t>
      </w:r>
      <w:r w:rsidR="00135423">
        <w:rPr>
          <w:rFonts w:asciiTheme="minorHAnsi" w:hAnsiTheme="minorHAnsi"/>
        </w:rPr>
        <w:t xml:space="preserve"> </w:t>
      </w:r>
      <w:r w:rsidR="00400A79">
        <w:rPr>
          <w:rFonts w:asciiTheme="minorHAnsi" w:hAnsiTheme="minorHAnsi"/>
        </w:rPr>
        <w:t xml:space="preserve">These studies that showed behavioural effects involved between 10 to </w:t>
      </w:r>
      <w:r w:rsidR="002831F5">
        <w:rPr>
          <w:rFonts w:asciiTheme="minorHAnsi" w:hAnsiTheme="minorHAnsi"/>
        </w:rPr>
        <w:t>15</w:t>
      </w:r>
      <w:r w:rsidR="00400A79">
        <w:rPr>
          <w:rFonts w:asciiTheme="minorHAnsi" w:hAnsiTheme="minorHAnsi"/>
        </w:rPr>
        <w:t xml:space="preserve"> participants. The current study involved a sample size of 31 that surpassed this range</w:t>
      </w:r>
      <w:r w:rsidR="00A424A7">
        <w:rPr>
          <w:rFonts w:asciiTheme="minorHAnsi" w:hAnsiTheme="minorHAnsi"/>
        </w:rPr>
        <w:t>.</w:t>
      </w:r>
      <w:r w:rsidR="00400A79">
        <w:rPr>
          <w:rFonts w:asciiTheme="minorHAnsi" w:hAnsiTheme="minorHAnsi"/>
        </w:rPr>
        <w:t xml:space="preserve"> </w:t>
      </w:r>
      <w:r w:rsidR="00135423">
        <w:rPr>
          <w:rFonts w:asciiTheme="minorHAnsi" w:hAnsiTheme="minorHAnsi"/>
        </w:rPr>
        <w:t xml:space="preserve">This </w:t>
      </w:r>
      <w:r w:rsidR="00400A79">
        <w:rPr>
          <w:rFonts w:asciiTheme="minorHAnsi" w:hAnsiTheme="minorHAnsi"/>
        </w:rPr>
        <w:t>is explained</w:t>
      </w:r>
      <w:r w:rsidR="00135423">
        <w:rPr>
          <w:rFonts w:asciiTheme="minorHAnsi" w:hAnsiTheme="minorHAnsi"/>
        </w:rPr>
        <w:t xml:space="preserve"> in the section</w:t>
      </w:r>
      <w:r w:rsidR="005B1367">
        <w:rPr>
          <w:rFonts w:asciiTheme="minorHAnsi" w:hAnsiTheme="minorHAnsi"/>
        </w:rPr>
        <w:t xml:space="preserve"> -</w:t>
      </w:r>
      <w:r w:rsidR="00135423">
        <w:rPr>
          <w:rFonts w:asciiTheme="minorHAnsi" w:hAnsiTheme="minorHAnsi"/>
        </w:rPr>
        <w:t xml:space="preserve"> </w:t>
      </w:r>
      <w:r w:rsidR="00135423">
        <w:rPr>
          <w:rFonts w:asciiTheme="minorHAnsi" w:hAnsiTheme="minorHAnsi"/>
          <w:i/>
          <w:iCs/>
        </w:rPr>
        <w:t xml:space="preserve">Methods, Participants </w:t>
      </w:r>
      <w:r w:rsidR="00135423">
        <w:rPr>
          <w:rFonts w:asciiTheme="minorHAnsi" w:hAnsiTheme="minorHAnsi"/>
        </w:rPr>
        <w:t>(P</w:t>
      </w:r>
      <w:r w:rsidR="006F534A">
        <w:rPr>
          <w:rFonts w:asciiTheme="minorHAnsi" w:hAnsiTheme="minorHAnsi"/>
        </w:rPr>
        <w:t xml:space="preserve">age </w:t>
      </w:r>
      <w:r w:rsidR="00135423">
        <w:rPr>
          <w:rFonts w:asciiTheme="minorHAnsi" w:hAnsiTheme="minorHAnsi"/>
        </w:rPr>
        <w:t>3</w:t>
      </w:r>
      <w:r w:rsidR="00600432">
        <w:rPr>
          <w:rFonts w:asciiTheme="minorHAnsi" w:hAnsiTheme="minorHAnsi"/>
        </w:rPr>
        <w:t>5</w:t>
      </w:r>
      <w:r w:rsidR="00135423">
        <w:rPr>
          <w:rFonts w:asciiTheme="minorHAnsi" w:hAnsiTheme="minorHAnsi"/>
        </w:rPr>
        <w:t>)</w:t>
      </w:r>
      <w:r w:rsidR="005B1367">
        <w:rPr>
          <w:rFonts w:asciiTheme="minorHAnsi" w:hAnsiTheme="minorHAnsi"/>
        </w:rPr>
        <w:t>.</w:t>
      </w:r>
    </w:p>
    <w:p w14:paraId="4B7B6CC2" w14:textId="77777777" w:rsidR="00434B54" w:rsidRPr="00125190" w:rsidRDefault="00434B5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10F21ACB" w14:textId="77777777" w:rsidR="003C33DE" w:rsidRDefault="003C33DE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14:paraId="617C492D" w14:textId="6DAC958C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9082325" w14:textId="77777777" w:rsidR="00434B54" w:rsidRPr="00662EF9" w:rsidRDefault="00434B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2FA85D5" w14:textId="506BCE2F" w:rsidR="003C33DE" w:rsidRDefault="005B13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required participants to complete a </w:t>
      </w:r>
      <w:r w:rsidR="00434B54">
        <w:rPr>
          <w:rFonts w:asciiTheme="minorHAnsi" w:hAnsiTheme="minorHAnsi"/>
        </w:rPr>
        <w:t xml:space="preserve">multi-alternative value-based decision-making task </w:t>
      </w:r>
      <w:r w:rsidR="001E1EF0">
        <w:rPr>
          <w:rFonts w:asciiTheme="minorHAnsi" w:hAnsiTheme="minorHAnsi"/>
        </w:rPr>
        <w:t xml:space="preserve">similar to that of previous studies.  </w:t>
      </w:r>
      <w:r w:rsidR="003C33DE">
        <w:rPr>
          <w:rFonts w:asciiTheme="minorHAnsi" w:hAnsiTheme="minorHAnsi"/>
        </w:rPr>
        <w:t xml:space="preserve">This is detailed in the section - </w:t>
      </w:r>
      <w:r w:rsidR="003C33DE">
        <w:rPr>
          <w:rFonts w:asciiTheme="minorHAnsi" w:hAnsiTheme="minorHAnsi"/>
          <w:i/>
        </w:rPr>
        <w:t>Methods, Decision-Making Task</w:t>
      </w:r>
      <w:r w:rsidR="003C33DE">
        <w:rPr>
          <w:rFonts w:asciiTheme="minorHAnsi" w:hAnsiTheme="minorHAnsi"/>
        </w:rPr>
        <w:t xml:space="preserve"> (P</w:t>
      </w:r>
      <w:r w:rsidR="006F534A">
        <w:rPr>
          <w:rFonts w:asciiTheme="minorHAnsi" w:hAnsiTheme="minorHAnsi"/>
        </w:rPr>
        <w:t xml:space="preserve">ages </w:t>
      </w:r>
      <w:r w:rsidR="00600432">
        <w:rPr>
          <w:rFonts w:asciiTheme="minorHAnsi" w:hAnsiTheme="minorHAnsi"/>
        </w:rPr>
        <w:t>36-38</w:t>
      </w:r>
      <w:r w:rsidR="003C33DE">
        <w:rPr>
          <w:rFonts w:asciiTheme="minorHAnsi" w:hAnsiTheme="minorHAnsi"/>
        </w:rPr>
        <w:t>).</w:t>
      </w:r>
    </w:p>
    <w:p w14:paraId="571BCD02" w14:textId="77777777" w:rsidR="00722853" w:rsidRDefault="007228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094AA0E" w14:textId="46078FEE" w:rsidR="00722853" w:rsidRDefault="007228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quality of the eye movement data was estimated moment-by-moment using an in-built algorithm of the </w:t>
      </w:r>
      <w:r w:rsidRPr="00B60725">
        <w:rPr>
          <w:rFonts w:asciiTheme="minorHAnsi" w:hAnsiTheme="minorHAnsi"/>
        </w:rPr>
        <w:t>Tobii TX300 eye tracker</w:t>
      </w:r>
      <w:r>
        <w:rPr>
          <w:rFonts w:asciiTheme="minorHAnsi" w:hAnsiTheme="minorHAnsi"/>
        </w:rPr>
        <w:t>.</w:t>
      </w:r>
      <w:r w:rsidRPr="00B60725">
        <w:rPr>
          <w:rFonts w:asciiTheme="minorHAnsi" w:hAnsiTheme="minorHAnsi"/>
        </w:rPr>
        <w:t xml:space="preserve"> </w:t>
      </w:r>
      <w:r w:rsidR="006D34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inclusion/exclusion criteria of the eye movement data were described in the section</w:t>
      </w:r>
      <w:r w:rsidR="006D347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6D3473">
        <w:rPr>
          <w:rFonts w:asciiTheme="minorHAnsi" w:hAnsiTheme="minorHAnsi"/>
        </w:rPr>
        <w:t xml:space="preserve">- </w:t>
      </w:r>
      <w:r>
        <w:rPr>
          <w:rFonts w:asciiTheme="minorHAnsi" w:hAnsiTheme="minorHAnsi"/>
          <w:i/>
          <w:iCs/>
        </w:rPr>
        <w:t>Methods, Eye movement recording and preprocessing</w:t>
      </w:r>
      <w:r>
        <w:rPr>
          <w:rFonts w:asciiTheme="minorHAnsi" w:hAnsiTheme="minorHAnsi"/>
        </w:rPr>
        <w:t xml:space="preserve"> (Page 4</w:t>
      </w:r>
      <w:r w:rsidR="00600432">
        <w:rPr>
          <w:rFonts w:asciiTheme="minorHAnsi" w:hAnsiTheme="minorHAnsi"/>
        </w:rPr>
        <w:t>1</w:t>
      </w:r>
      <w:r>
        <w:rPr>
          <w:rFonts w:asciiTheme="minorHAnsi" w:hAnsiTheme="minorHAnsi"/>
        </w:rPr>
        <w:t>, Lines 732-74</w:t>
      </w:r>
      <w:r w:rsidR="00400A79">
        <w:rPr>
          <w:rFonts w:asciiTheme="minorHAnsi" w:hAnsiTheme="minorHAnsi"/>
        </w:rPr>
        <w:t>3</w:t>
      </w:r>
      <w:r>
        <w:rPr>
          <w:rFonts w:asciiTheme="minorHAnsi" w:hAnsiTheme="minorHAnsi"/>
        </w:rPr>
        <w:t>)</w:t>
      </w:r>
      <w:r w:rsidR="006D3473">
        <w:rPr>
          <w:rFonts w:asciiTheme="minorHAnsi" w:hAnsiTheme="minorHAnsi"/>
        </w:rPr>
        <w:t xml:space="preserve"> and </w:t>
      </w:r>
      <w:r w:rsidR="006D3473">
        <w:rPr>
          <w:rFonts w:asciiTheme="minorHAnsi" w:hAnsiTheme="minorHAnsi"/>
          <w:i/>
        </w:rPr>
        <w:t>Methods, Statistical Analysis, Eye-tracking Data Analysis</w:t>
      </w:r>
      <w:r w:rsidR="006D3473">
        <w:rPr>
          <w:rFonts w:asciiTheme="minorHAnsi" w:hAnsiTheme="minorHAnsi"/>
        </w:rPr>
        <w:t xml:space="preserve"> (Pages </w:t>
      </w:r>
      <w:r w:rsidR="00600432">
        <w:rPr>
          <w:rFonts w:asciiTheme="minorHAnsi" w:hAnsiTheme="minorHAnsi"/>
        </w:rPr>
        <w:t>44-45</w:t>
      </w:r>
      <w:r w:rsidR="006D3473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r w:rsidR="006D3473">
        <w:rPr>
          <w:rFonts w:asciiTheme="minorHAnsi" w:hAnsiTheme="minorHAnsi"/>
        </w:rPr>
        <w:t xml:space="preserve">  Specifically, we were unable to identify sufficient gaze shifts in five participants, which were excluded from the eye-tracking data analysis.</w:t>
      </w:r>
    </w:p>
    <w:p w14:paraId="7F31FAE4" w14:textId="77777777" w:rsidR="003C33DE" w:rsidRPr="00125190" w:rsidRDefault="003C33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E526498" w14:textId="5E8CB194" w:rsidR="006F534A" w:rsidRDefault="006F534A" w:rsidP="006F534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Explanations of the statistical analysis methods are provided in </w:t>
      </w:r>
      <w:r>
        <w:rPr>
          <w:rFonts w:asciiTheme="minorHAnsi" w:hAnsiTheme="minorHAnsi"/>
          <w:i/>
          <w:iCs/>
          <w:lang w:val="en-GB"/>
        </w:rPr>
        <w:t>Methods, Statistical Analysis</w:t>
      </w:r>
      <w:r>
        <w:rPr>
          <w:rFonts w:asciiTheme="minorHAnsi" w:hAnsiTheme="minorHAnsi"/>
          <w:lang w:val="en-GB"/>
        </w:rPr>
        <w:t xml:space="preserve"> (Pages </w:t>
      </w:r>
      <w:r w:rsidR="00600432">
        <w:rPr>
          <w:rFonts w:asciiTheme="minorHAnsi" w:hAnsiTheme="minorHAnsi"/>
          <w:lang w:val="en-GB"/>
        </w:rPr>
        <w:t>41-45</w:t>
      </w:r>
      <w:r>
        <w:rPr>
          <w:rFonts w:asciiTheme="minorHAnsi" w:hAnsiTheme="minorHAnsi"/>
          <w:lang w:val="en-GB"/>
        </w:rPr>
        <w:t xml:space="preserve">) and also repeated in various sections of </w:t>
      </w:r>
      <w:r>
        <w:rPr>
          <w:rFonts w:asciiTheme="minorHAnsi" w:hAnsiTheme="minorHAnsi"/>
          <w:i/>
          <w:iCs/>
          <w:lang w:val="en-GB"/>
        </w:rPr>
        <w:t>Results</w:t>
      </w:r>
      <w:r>
        <w:rPr>
          <w:rFonts w:asciiTheme="minorHAnsi" w:hAnsiTheme="minorHAnsi"/>
          <w:iCs/>
          <w:lang w:val="en-GB"/>
        </w:rPr>
        <w:t xml:space="preserve"> (Pages 7-27)</w:t>
      </w:r>
      <w:r>
        <w:rPr>
          <w:rFonts w:asciiTheme="minorHAnsi" w:hAnsiTheme="minorHAnsi"/>
          <w:lang w:val="en-GB"/>
        </w:rPr>
        <w:t>.</w:t>
      </w:r>
    </w:p>
    <w:p w14:paraId="741624AF" w14:textId="77777777" w:rsidR="00910322" w:rsidRDefault="00910322" w:rsidP="006F534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1346C5EB" w14:textId="55DFDBA8" w:rsidR="00910322" w:rsidRPr="00910322" w:rsidRDefault="00910322" w:rsidP="009103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910322">
        <w:rPr>
          <w:rFonts w:asciiTheme="minorHAnsi" w:hAnsiTheme="minorHAnsi"/>
          <w:lang w:val="en-GB"/>
        </w:rPr>
        <w:t xml:space="preserve">The sample sizes </w:t>
      </w:r>
      <w:r>
        <w:rPr>
          <w:rFonts w:asciiTheme="minorHAnsi" w:hAnsiTheme="minorHAnsi"/>
          <w:lang w:val="en-GB"/>
        </w:rPr>
        <w:t>of the current study is 31</w:t>
      </w:r>
      <w:r w:rsidRPr="00910322">
        <w:rPr>
          <w:rFonts w:asciiTheme="minorHAnsi" w:hAnsiTheme="minorHAnsi"/>
          <w:lang w:val="en-GB"/>
        </w:rPr>
        <w:t>. Error bars indicating standard errors were presented in all bar charts.</w:t>
      </w:r>
    </w:p>
    <w:p w14:paraId="1D237BC6" w14:textId="77777777" w:rsidR="00910322" w:rsidRPr="00910322" w:rsidRDefault="00910322" w:rsidP="009103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755025A1" w14:textId="77777777" w:rsidR="00910322" w:rsidRPr="00910322" w:rsidRDefault="00910322" w:rsidP="009103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910322">
        <w:rPr>
          <w:rFonts w:asciiTheme="minorHAnsi" w:hAnsiTheme="minorHAnsi"/>
          <w:lang w:val="en-GB"/>
        </w:rPr>
        <w:t xml:space="preserve">The statistical test used and the sample size of each test (in form of degree-of-freedom) were described in both the </w:t>
      </w:r>
      <w:r w:rsidRPr="00910322">
        <w:rPr>
          <w:rFonts w:asciiTheme="minorHAnsi" w:hAnsiTheme="minorHAnsi"/>
          <w:i/>
          <w:lang w:val="en-GB"/>
        </w:rPr>
        <w:t>Results</w:t>
      </w:r>
      <w:r w:rsidRPr="00910322">
        <w:rPr>
          <w:rFonts w:asciiTheme="minorHAnsi" w:hAnsiTheme="minorHAnsi"/>
          <w:lang w:val="en-GB"/>
        </w:rPr>
        <w:t xml:space="preserve"> and </w:t>
      </w:r>
      <w:r w:rsidRPr="00910322">
        <w:rPr>
          <w:rFonts w:asciiTheme="minorHAnsi" w:hAnsiTheme="minorHAnsi"/>
          <w:i/>
          <w:lang w:val="en-GB"/>
        </w:rPr>
        <w:t>Methods</w:t>
      </w:r>
      <w:r w:rsidRPr="00910322">
        <w:rPr>
          <w:rFonts w:asciiTheme="minorHAnsi" w:hAnsiTheme="minorHAnsi"/>
          <w:lang w:val="en-GB"/>
        </w:rPr>
        <w:t xml:space="preserve"> sections.  The mean and standard error of the key results can be found in the figures in form of bar charts.</w:t>
      </w:r>
    </w:p>
    <w:p w14:paraId="1EC0955D" w14:textId="77777777" w:rsidR="00910322" w:rsidRPr="00910322" w:rsidRDefault="00910322" w:rsidP="009103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</w:p>
    <w:p w14:paraId="108A3401" w14:textId="3DAF7629" w:rsidR="00910322" w:rsidRPr="003766A4" w:rsidRDefault="00910322" w:rsidP="0091032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910322">
        <w:rPr>
          <w:rFonts w:asciiTheme="minorHAnsi" w:hAnsiTheme="minorHAnsi"/>
          <w:lang w:val="en-GB"/>
        </w:rPr>
        <w:t xml:space="preserve">The exact p values of each test were reported to 3 decimal places in the </w:t>
      </w:r>
      <w:r w:rsidRPr="000E063C">
        <w:rPr>
          <w:rFonts w:asciiTheme="minorHAnsi" w:hAnsiTheme="minorHAnsi"/>
          <w:i/>
          <w:lang w:val="en-GB"/>
        </w:rPr>
        <w:t>Results</w:t>
      </w:r>
      <w:r w:rsidR="000E063C">
        <w:rPr>
          <w:rFonts w:asciiTheme="minorHAnsi" w:hAnsiTheme="minorHAnsi"/>
          <w:lang w:val="en-GB"/>
        </w:rPr>
        <w:t xml:space="preserve"> section.</w:t>
      </w:r>
    </w:p>
    <w:p w14:paraId="287B91C1" w14:textId="77777777" w:rsidR="00035676" w:rsidRPr="006F534A" w:rsidRDefault="000356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CC3F69" w14:textId="77777777" w:rsidR="00434B54" w:rsidRDefault="00434B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5737C676" w:rsidR="00BC3CCE" w:rsidRDefault="00434B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34B54">
        <w:rPr>
          <w:rFonts w:asciiTheme="minorHAnsi" w:hAnsiTheme="minorHAnsi"/>
          <w:sz w:val="22"/>
          <w:szCs w:val="22"/>
        </w:rPr>
        <w:t xml:space="preserve">Not applicable, since </w:t>
      </w:r>
      <w:r>
        <w:rPr>
          <w:rFonts w:asciiTheme="minorHAnsi" w:hAnsiTheme="minorHAnsi"/>
          <w:sz w:val="22"/>
          <w:szCs w:val="22"/>
        </w:rPr>
        <w:t xml:space="preserve">the current study </w:t>
      </w:r>
      <w:r w:rsidRPr="00434B54">
        <w:rPr>
          <w:rFonts w:asciiTheme="minorHAnsi" w:hAnsiTheme="minorHAnsi"/>
          <w:sz w:val="22"/>
          <w:szCs w:val="22"/>
        </w:rPr>
        <w:t>involved a within-subject design with no group allocation.</w:t>
      </w:r>
      <w:r>
        <w:rPr>
          <w:rFonts w:asciiTheme="minorHAnsi" w:hAnsiTheme="minorHAnsi"/>
          <w:sz w:val="22"/>
          <w:szCs w:val="22"/>
        </w:rPr>
        <w:t xml:space="preserve">  </w:t>
      </w:r>
      <w:r w:rsidR="009605CA">
        <w:rPr>
          <w:rFonts w:asciiTheme="minorHAnsi" w:hAnsiTheme="minorHAnsi"/>
          <w:sz w:val="22"/>
          <w:szCs w:val="22"/>
        </w:rPr>
        <w:t>For each participant</w:t>
      </w:r>
      <w:r>
        <w:rPr>
          <w:rFonts w:asciiTheme="minorHAnsi" w:hAnsiTheme="minorHAnsi"/>
          <w:sz w:val="22"/>
          <w:szCs w:val="22"/>
        </w:rPr>
        <w:t xml:space="preserve">, the order of the rTMS stimulation site (i.e., MIP/MT) </w:t>
      </w:r>
      <w:r w:rsidR="009605CA">
        <w:rPr>
          <w:rFonts w:asciiTheme="minorHAnsi" w:hAnsiTheme="minorHAnsi"/>
          <w:sz w:val="22"/>
          <w:szCs w:val="22"/>
        </w:rPr>
        <w:t>was randomly assigned</w:t>
      </w:r>
      <w:r>
        <w:rPr>
          <w:rFonts w:asciiTheme="minorHAnsi" w:hAnsiTheme="minorHAnsi"/>
          <w:sz w:val="22"/>
          <w:szCs w:val="22"/>
        </w:rPr>
        <w:t>.</w:t>
      </w:r>
    </w:p>
    <w:p w14:paraId="32B7C1B5" w14:textId="77777777" w:rsidR="00434B54" w:rsidRPr="00505C51" w:rsidRDefault="00434B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EA9AF8B" w14:textId="77777777" w:rsidR="00434B54" w:rsidRDefault="00434B54" w:rsidP="00434B5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1F6D2A8" w14:textId="7C86B31D" w:rsidR="006D3473" w:rsidRPr="00505C51" w:rsidRDefault="00565682" w:rsidP="00434B5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t xml:space="preserve">The behavioural data, eye-tracking data, anonymized MRI grey matter volume data collected and analysed during the current study are available on Dryad: </w:t>
      </w:r>
      <w:hyperlink r:id="rId12" w:history="1">
        <w:r w:rsidRPr="00565682">
          <w:rPr>
            <w:rStyle w:val="Hyperlink"/>
          </w:rPr>
          <w:t>https://doi.org/10.5061/dryad.ngf1vhhzn</w:t>
        </w:r>
      </w:hyperlink>
      <w: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80EEE" w14:textId="77777777" w:rsidR="00D3437E" w:rsidRDefault="00D3437E" w:rsidP="004215FE">
      <w:r>
        <w:separator/>
      </w:r>
    </w:p>
  </w:endnote>
  <w:endnote w:type="continuationSeparator" w:id="0">
    <w:p w14:paraId="1E6B7F7A" w14:textId="77777777" w:rsidR="00D3437E" w:rsidRDefault="00D343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6E66A7B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65682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175F" w14:textId="77777777" w:rsidR="00D3437E" w:rsidRDefault="00D3437E" w:rsidP="004215FE">
      <w:r>
        <w:separator/>
      </w:r>
    </w:p>
  </w:footnote>
  <w:footnote w:type="continuationSeparator" w:id="0">
    <w:p w14:paraId="52344D17" w14:textId="77777777" w:rsidR="00D3437E" w:rsidRDefault="00D343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5676"/>
    <w:multiLevelType w:val="hybridMultilevel"/>
    <w:tmpl w:val="7670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567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063C"/>
    <w:rsid w:val="000F64EE"/>
    <w:rsid w:val="00100F97"/>
    <w:rsid w:val="001019CD"/>
    <w:rsid w:val="00125190"/>
    <w:rsid w:val="00133662"/>
    <w:rsid w:val="00133907"/>
    <w:rsid w:val="00135423"/>
    <w:rsid w:val="00146DE9"/>
    <w:rsid w:val="0015519A"/>
    <w:rsid w:val="001618D5"/>
    <w:rsid w:val="00175192"/>
    <w:rsid w:val="001E1D59"/>
    <w:rsid w:val="001E1EF0"/>
    <w:rsid w:val="001F4734"/>
    <w:rsid w:val="00212F30"/>
    <w:rsid w:val="00217B9E"/>
    <w:rsid w:val="002336C6"/>
    <w:rsid w:val="00241081"/>
    <w:rsid w:val="00266462"/>
    <w:rsid w:val="002831F5"/>
    <w:rsid w:val="002A068D"/>
    <w:rsid w:val="002A0ED1"/>
    <w:rsid w:val="002A7487"/>
    <w:rsid w:val="00307F5D"/>
    <w:rsid w:val="003248ED"/>
    <w:rsid w:val="00370080"/>
    <w:rsid w:val="003B46D6"/>
    <w:rsid w:val="003C33DE"/>
    <w:rsid w:val="003F19A6"/>
    <w:rsid w:val="00400A79"/>
    <w:rsid w:val="00402ADD"/>
    <w:rsid w:val="00406FF4"/>
    <w:rsid w:val="0041682E"/>
    <w:rsid w:val="004215FE"/>
    <w:rsid w:val="004242DB"/>
    <w:rsid w:val="00426FD0"/>
    <w:rsid w:val="00434B54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682"/>
    <w:rsid w:val="00566103"/>
    <w:rsid w:val="005B0A15"/>
    <w:rsid w:val="005B1367"/>
    <w:rsid w:val="00600432"/>
    <w:rsid w:val="00605A12"/>
    <w:rsid w:val="00634AC7"/>
    <w:rsid w:val="00657587"/>
    <w:rsid w:val="00661DCC"/>
    <w:rsid w:val="00662EF9"/>
    <w:rsid w:val="006654AB"/>
    <w:rsid w:val="00672545"/>
    <w:rsid w:val="00685CCF"/>
    <w:rsid w:val="0069209D"/>
    <w:rsid w:val="006A632B"/>
    <w:rsid w:val="006C06F5"/>
    <w:rsid w:val="006C7BC3"/>
    <w:rsid w:val="006D3473"/>
    <w:rsid w:val="006E4A6C"/>
    <w:rsid w:val="006E6B2A"/>
    <w:rsid w:val="006F534A"/>
    <w:rsid w:val="00700103"/>
    <w:rsid w:val="007137E1"/>
    <w:rsid w:val="0072285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A57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109D"/>
    <w:rsid w:val="008C73C0"/>
    <w:rsid w:val="008D7885"/>
    <w:rsid w:val="00910322"/>
    <w:rsid w:val="00912B0B"/>
    <w:rsid w:val="009205E9"/>
    <w:rsid w:val="0092438C"/>
    <w:rsid w:val="00941D04"/>
    <w:rsid w:val="009605CA"/>
    <w:rsid w:val="00963CEF"/>
    <w:rsid w:val="00993065"/>
    <w:rsid w:val="009A0661"/>
    <w:rsid w:val="009B3D96"/>
    <w:rsid w:val="009D0D28"/>
    <w:rsid w:val="009E6ACE"/>
    <w:rsid w:val="009E7B13"/>
    <w:rsid w:val="00A11EC6"/>
    <w:rsid w:val="00A131BD"/>
    <w:rsid w:val="00A31020"/>
    <w:rsid w:val="00A32E20"/>
    <w:rsid w:val="00A424A7"/>
    <w:rsid w:val="00A5368C"/>
    <w:rsid w:val="00A62B52"/>
    <w:rsid w:val="00A81E4A"/>
    <w:rsid w:val="00A84B3E"/>
    <w:rsid w:val="00AB5612"/>
    <w:rsid w:val="00AC367D"/>
    <w:rsid w:val="00AC49AA"/>
    <w:rsid w:val="00AD7A8F"/>
    <w:rsid w:val="00AE7C75"/>
    <w:rsid w:val="00AF5736"/>
    <w:rsid w:val="00B0208B"/>
    <w:rsid w:val="00B124CC"/>
    <w:rsid w:val="00B17836"/>
    <w:rsid w:val="00B24C80"/>
    <w:rsid w:val="00B25462"/>
    <w:rsid w:val="00B30BDB"/>
    <w:rsid w:val="00B330BD"/>
    <w:rsid w:val="00B4292F"/>
    <w:rsid w:val="00B57E8A"/>
    <w:rsid w:val="00B64119"/>
    <w:rsid w:val="00B9298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437E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2014A93-D784-4FD0-9EE5-71C99181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jrnlextlink">
    <w:name w:val="jrnlextlink"/>
    <w:basedOn w:val="DefaultParagraphFont"/>
    <w:rsid w:val="0056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061/dryad.ngf1vhhz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1A0A83-5319-4CC7-BE66-F61B5068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Kate Armal</cp:lastModifiedBy>
  <cp:revision>2</cp:revision>
  <dcterms:created xsi:type="dcterms:W3CDTF">2023-02-21T08:38:00Z</dcterms:created>
  <dcterms:modified xsi:type="dcterms:W3CDTF">2023-02-21T08:38:00Z</dcterms:modified>
</cp:coreProperties>
</file>