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30D5A0D" w14:textId="375C4F1C" w:rsidR="0036144F" w:rsidRPr="0036144F" w:rsidRDefault="00227E3D" w:rsidP="0036144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Lines 536-537. </w:t>
      </w:r>
      <w:r w:rsidR="0036144F" w:rsidRPr="0036144F">
        <w:rPr>
          <w:rFonts w:asciiTheme="minorHAnsi" w:hAnsiTheme="minorHAnsi"/>
        </w:rPr>
        <w:t>For power analysis, we simulated F1 and F2 generations from phased SNP data (</w:t>
      </w:r>
      <w:proofErr w:type="spellStart"/>
      <w:r w:rsidR="0036144F" w:rsidRPr="0036144F">
        <w:rPr>
          <w:rFonts w:asciiTheme="minorHAnsi" w:hAnsiTheme="minorHAnsi"/>
        </w:rPr>
        <w:t>Giga</w:t>
      </w:r>
      <w:r w:rsidR="00B45BE9">
        <w:rPr>
          <w:rFonts w:asciiTheme="minorHAnsi" w:hAnsiTheme="minorHAnsi"/>
        </w:rPr>
        <w:t>MUGA</w:t>
      </w:r>
      <w:proofErr w:type="spellEnd"/>
      <w:r w:rsidR="0036144F" w:rsidRPr="0036144F">
        <w:rPr>
          <w:rFonts w:asciiTheme="minorHAnsi" w:hAnsiTheme="minorHAnsi"/>
        </w:rPr>
        <w:t xml:space="preserve"> array data) using the R package </w:t>
      </w:r>
      <w:proofErr w:type="spellStart"/>
      <w:r w:rsidR="0036144F" w:rsidRPr="0036144F">
        <w:rPr>
          <w:rFonts w:asciiTheme="minorHAnsi" w:hAnsiTheme="minorHAnsi"/>
          <w:i/>
          <w:iCs/>
        </w:rPr>
        <w:t>simcross</w:t>
      </w:r>
      <w:proofErr w:type="spellEnd"/>
      <w:r w:rsidR="0036144F" w:rsidRPr="0036144F">
        <w:rPr>
          <w:rFonts w:asciiTheme="minorHAnsi" w:hAnsiTheme="minorHAnsi"/>
        </w:rPr>
        <w:t xml:space="preserve"> and custom </w:t>
      </w:r>
      <w:proofErr w:type="spellStart"/>
      <w:r w:rsidR="0036144F" w:rsidRPr="0036144F">
        <w:rPr>
          <w:rFonts w:asciiTheme="minorHAnsi" w:hAnsiTheme="minorHAnsi"/>
        </w:rPr>
        <w:t>perl</w:t>
      </w:r>
      <w:proofErr w:type="spellEnd"/>
      <w:r w:rsidR="0036144F" w:rsidRPr="0036144F">
        <w:rPr>
          <w:rFonts w:asciiTheme="minorHAnsi" w:hAnsiTheme="minorHAnsi"/>
        </w:rPr>
        <w:t xml:space="preserve"> scripts. Simulations were performed with different phenotypic variance estimates (5%, 10%, 20%) for 10 different phenotypes. Each simulation was performed for 150 and 300 (large data set) individuals</w:t>
      </w:r>
      <w:r w:rsidR="0036144F">
        <w:rPr>
          <w:rFonts w:asciiTheme="minorHAnsi" w:hAnsiTheme="minorHAnsi"/>
        </w:rPr>
        <w:t xml:space="preserve"> and for an 8-way cross design</w:t>
      </w:r>
      <w:r w:rsidR="0036144F" w:rsidRPr="0036144F">
        <w:rPr>
          <w:rFonts w:asciiTheme="minorHAnsi" w:hAnsiTheme="minorHAnsi"/>
        </w:rPr>
        <w:t xml:space="preserve">. Afterwards, QTL analysis were performed to retrieve mapping intervals (in </w:t>
      </w:r>
      <w:proofErr w:type="spellStart"/>
      <w:r w:rsidR="0036144F" w:rsidRPr="0036144F">
        <w:rPr>
          <w:rFonts w:asciiTheme="minorHAnsi" w:hAnsiTheme="minorHAnsi"/>
        </w:rPr>
        <w:t>cM</w:t>
      </w:r>
      <w:proofErr w:type="spellEnd"/>
      <w:r w:rsidR="0036144F" w:rsidRPr="0036144F">
        <w:rPr>
          <w:rFonts w:asciiTheme="minorHAnsi" w:hAnsiTheme="minorHAnsi"/>
        </w:rPr>
        <w:t>) and LOD scores for each simulated QTL. In all analysis, the large data set showed smaller mapping intervals and higher LOD scores for causal SNPs.</w:t>
      </w:r>
    </w:p>
    <w:p w14:paraId="22447F8A" w14:textId="77777777" w:rsidR="0036144F" w:rsidRPr="0036144F" w:rsidRDefault="0036144F" w:rsidP="0036144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6144F">
        <w:rPr>
          <w:rFonts w:asciiTheme="minorHAnsi" w:hAnsiTheme="minorHAnsi"/>
        </w:rPr>
        <w:t xml:space="preserve">For a phenotypic variance of 5%, 73.8% of the QTLs were detected in the simulation. For increasing phenotypic variance (10%, 20%), this value increased to 87.5%. </w:t>
      </w:r>
    </w:p>
    <w:p w14:paraId="5070E256" w14:textId="6DC33A43" w:rsidR="00FD4937" w:rsidRPr="00125190" w:rsidRDefault="0036144F" w:rsidP="0036144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6144F">
        <w:rPr>
          <w:rFonts w:asciiTheme="minorHAnsi" w:hAnsiTheme="minorHAnsi"/>
        </w:rPr>
        <w:t xml:space="preserve">A similar analysis was performed for </w:t>
      </w:r>
      <w:r>
        <w:rPr>
          <w:rFonts w:asciiTheme="minorHAnsi" w:hAnsiTheme="minorHAnsi"/>
        </w:rPr>
        <w:t>the</w:t>
      </w:r>
      <w:r w:rsidRPr="0036144F">
        <w:rPr>
          <w:rFonts w:asciiTheme="minorHAnsi" w:hAnsiTheme="minorHAnsi"/>
        </w:rPr>
        <w:t xml:space="preserve"> 8-way cross, using 38 individuals per cross (304 mice in total). Here, 66% of the QTLs were detected if the phenotypic variance is low (5%), 94% were detected when the phenotypic variance was intermediate (10%) and 100% were detected for high phenotypic variance (20%).</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lastRenderedPageBreak/>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ADCEEEC" w:rsidR="00FD4937" w:rsidRDefault="00BB71A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Excluded samples where phenotyping failed: lines 575-577</w:t>
      </w:r>
    </w:p>
    <w:p w14:paraId="0C827C29" w14:textId="4484547F" w:rsidR="00BB71A3" w:rsidRPr="00125190" w:rsidRDefault="00BB71A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Reviewer link sequence data: </w:t>
      </w:r>
      <w:hyperlink r:id="rId11" w:history="1">
        <w:r w:rsidRPr="00BB71A3">
          <w:rPr>
            <w:rStyle w:val="Hyperlink"/>
            <w:rFonts w:asciiTheme="minorHAnsi" w:hAnsiTheme="minorHAnsi"/>
          </w:rPr>
          <w:t>https://dataview.ncbi.nlm.nih.gov/object/PRJNA759194?reviewer=7c8p1dsv7pt117lcbc7r26kfs0</w:t>
        </w:r>
      </w:hyperlink>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C31C530" w14:textId="43600E24" w:rsidR="00FD4937" w:rsidRDefault="00FD4937" w:rsidP="00FD4937">
      <w:pPr>
        <w:rPr>
          <w:rFonts w:asciiTheme="minorHAnsi" w:hAnsiTheme="minorHAnsi"/>
          <w:bCs/>
          <w:sz w:val="22"/>
          <w:szCs w:val="22"/>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tbl>
      <w:tblPr>
        <w:tblStyle w:val="TableGrid"/>
        <w:tblW w:w="0" w:type="auto"/>
        <w:tblLook w:val="04A0" w:firstRow="1" w:lastRow="0" w:firstColumn="1" w:lastColumn="0" w:noHBand="0" w:noVBand="1"/>
      </w:tblPr>
      <w:tblGrid>
        <w:gridCol w:w="4505"/>
        <w:gridCol w:w="4505"/>
      </w:tblGrid>
      <w:tr w:rsidR="00BB71A3" w14:paraId="114A2720" w14:textId="77777777" w:rsidTr="00575CCB">
        <w:tc>
          <w:tcPr>
            <w:tcW w:w="4505" w:type="dxa"/>
          </w:tcPr>
          <w:p w14:paraId="15B58C73" w14:textId="237F7722" w:rsidR="00BB71A3" w:rsidRDefault="00BB71A3" w:rsidP="00BB71A3">
            <w:pPr>
              <w:rPr>
                <w:rFonts w:asciiTheme="minorHAnsi" w:hAnsiTheme="minorHAnsi"/>
                <w:b/>
              </w:rPr>
            </w:pPr>
            <w:r>
              <w:rPr>
                <w:rFonts w:asciiTheme="minorHAnsi" w:hAnsiTheme="minorHAnsi"/>
                <w:b/>
              </w:rPr>
              <w:t xml:space="preserve">Reference </w:t>
            </w:r>
          </w:p>
        </w:tc>
        <w:tc>
          <w:tcPr>
            <w:tcW w:w="4505" w:type="dxa"/>
          </w:tcPr>
          <w:p w14:paraId="5565EA7F" w14:textId="627DF890" w:rsidR="00BB71A3" w:rsidRDefault="00BB71A3" w:rsidP="00BB71A3">
            <w:pPr>
              <w:rPr>
                <w:rFonts w:asciiTheme="minorHAnsi" w:hAnsiTheme="minorHAnsi"/>
                <w:b/>
              </w:rPr>
            </w:pPr>
            <w:r>
              <w:rPr>
                <w:rFonts w:asciiTheme="minorHAnsi" w:hAnsiTheme="minorHAnsi"/>
                <w:b/>
              </w:rPr>
              <w:t>Statistical test</w:t>
            </w:r>
          </w:p>
        </w:tc>
      </w:tr>
      <w:tr w:rsidR="00BB71A3" w14:paraId="31A76108" w14:textId="77777777" w:rsidTr="00575CCB">
        <w:tc>
          <w:tcPr>
            <w:tcW w:w="4505" w:type="dxa"/>
          </w:tcPr>
          <w:p w14:paraId="6E996B4F" w14:textId="6C0D84B5" w:rsidR="00BB71A3" w:rsidRPr="00BB71A3" w:rsidRDefault="00BB71A3" w:rsidP="00BB71A3">
            <w:pPr>
              <w:rPr>
                <w:rFonts w:asciiTheme="minorHAnsi" w:hAnsiTheme="minorHAnsi"/>
              </w:rPr>
            </w:pPr>
            <w:r>
              <w:rPr>
                <w:rFonts w:asciiTheme="minorHAnsi" w:hAnsiTheme="minorHAnsi"/>
              </w:rPr>
              <w:t xml:space="preserve">Correlation between host genetic relatedness and microbiome structure: lines </w:t>
            </w:r>
            <w:r w:rsidRPr="00BB71A3">
              <w:rPr>
                <w:rFonts w:asciiTheme="minorHAnsi" w:hAnsiTheme="minorHAnsi"/>
              </w:rPr>
              <w:t>136</w:t>
            </w:r>
            <w:r>
              <w:rPr>
                <w:rFonts w:asciiTheme="minorHAnsi" w:hAnsiTheme="minorHAnsi"/>
              </w:rPr>
              <w:t>, 610-620</w:t>
            </w:r>
          </w:p>
        </w:tc>
        <w:tc>
          <w:tcPr>
            <w:tcW w:w="4505" w:type="dxa"/>
          </w:tcPr>
          <w:p w14:paraId="64CBB69D" w14:textId="2C69C085" w:rsidR="00BB71A3" w:rsidRPr="00BB71A3" w:rsidRDefault="00BB71A3" w:rsidP="00BB71A3">
            <w:pPr>
              <w:rPr>
                <w:rFonts w:asciiTheme="minorHAnsi" w:hAnsiTheme="minorHAnsi"/>
              </w:rPr>
            </w:pPr>
            <w:r w:rsidRPr="00BB71A3">
              <w:rPr>
                <w:rFonts w:asciiTheme="minorHAnsi" w:hAnsiTheme="minorHAnsi"/>
              </w:rPr>
              <w:t>Mantel test</w:t>
            </w:r>
            <w:r>
              <w:rPr>
                <w:rFonts w:asciiTheme="minorHAnsi" w:hAnsiTheme="minorHAnsi"/>
              </w:rPr>
              <w:t xml:space="preserve"> with Spearman’s correlation with 10,000 permutations</w:t>
            </w:r>
          </w:p>
        </w:tc>
      </w:tr>
      <w:tr w:rsidR="00BB71A3" w14:paraId="31352C9A" w14:textId="77777777" w:rsidTr="00575CCB">
        <w:tc>
          <w:tcPr>
            <w:tcW w:w="4505" w:type="dxa"/>
          </w:tcPr>
          <w:p w14:paraId="0FAA107B" w14:textId="5DA8F802" w:rsidR="00BB71A3" w:rsidRDefault="00BB71A3" w:rsidP="00BB71A3">
            <w:pPr>
              <w:rPr>
                <w:rFonts w:asciiTheme="minorHAnsi" w:hAnsiTheme="minorHAnsi"/>
              </w:rPr>
            </w:pPr>
            <w:r>
              <w:rPr>
                <w:rFonts w:asciiTheme="minorHAnsi" w:hAnsiTheme="minorHAnsi"/>
              </w:rPr>
              <w:t>SNP-based heritability: 142, 621-629, Fig 1A-B, Suppl. Table 1</w:t>
            </w:r>
          </w:p>
        </w:tc>
        <w:tc>
          <w:tcPr>
            <w:tcW w:w="4505" w:type="dxa"/>
          </w:tcPr>
          <w:p w14:paraId="7D422FF7" w14:textId="0EB6A379" w:rsidR="00BB71A3" w:rsidRPr="00BB71A3" w:rsidRDefault="00BB71A3" w:rsidP="00BB71A3">
            <w:pPr>
              <w:rPr>
                <w:rFonts w:asciiTheme="minorHAnsi" w:hAnsiTheme="minorHAnsi"/>
              </w:rPr>
            </w:pPr>
            <w:r>
              <w:rPr>
                <w:rFonts w:asciiTheme="minorHAnsi" w:hAnsiTheme="minorHAnsi"/>
              </w:rPr>
              <w:t>Restricted Log-Likelihood test (RLRT)</w:t>
            </w:r>
          </w:p>
        </w:tc>
      </w:tr>
      <w:tr w:rsidR="00BB71A3" w14:paraId="0A363607" w14:textId="77777777" w:rsidTr="00575CCB">
        <w:tc>
          <w:tcPr>
            <w:tcW w:w="4505" w:type="dxa"/>
          </w:tcPr>
          <w:p w14:paraId="6231991F" w14:textId="363F4011" w:rsidR="00BB71A3" w:rsidRDefault="00BB71A3" w:rsidP="00BB71A3">
            <w:pPr>
              <w:rPr>
                <w:rFonts w:asciiTheme="minorHAnsi" w:hAnsiTheme="minorHAnsi"/>
              </w:rPr>
            </w:pPr>
            <w:r>
              <w:rPr>
                <w:rFonts w:asciiTheme="minorHAnsi" w:hAnsiTheme="minorHAnsi"/>
              </w:rPr>
              <w:t>SNP-based heritability: 150, Suppl. Fig 4</w:t>
            </w:r>
          </w:p>
        </w:tc>
        <w:tc>
          <w:tcPr>
            <w:tcW w:w="4505" w:type="dxa"/>
          </w:tcPr>
          <w:p w14:paraId="4B73D8BE" w14:textId="0A470904" w:rsidR="00BB71A3" w:rsidRDefault="00BB71A3" w:rsidP="00BB71A3">
            <w:pPr>
              <w:rPr>
                <w:rFonts w:asciiTheme="minorHAnsi" w:hAnsiTheme="minorHAnsi"/>
              </w:rPr>
            </w:pPr>
            <w:r>
              <w:rPr>
                <w:rFonts w:asciiTheme="minorHAnsi" w:hAnsiTheme="minorHAnsi"/>
              </w:rPr>
              <w:t>Spearman’s correlation</w:t>
            </w:r>
          </w:p>
        </w:tc>
      </w:tr>
      <w:tr w:rsidR="00BB71A3" w14:paraId="650883DD" w14:textId="77777777" w:rsidTr="00575CCB">
        <w:tc>
          <w:tcPr>
            <w:tcW w:w="4505" w:type="dxa"/>
          </w:tcPr>
          <w:p w14:paraId="68768C3E" w14:textId="7A9C0E40" w:rsidR="00BB71A3" w:rsidRDefault="00BB71A3" w:rsidP="00BB71A3">
            <w:pPr>
              <w:rPr>
                <w:rFonts w:asciiTheme="minorHAnsi" w:hAnsiTheme="minorHAnsi"/>
              </w:rPr>
            </w:pPr>
            <w:r>
              <w:rPr>
                <w:rFonts w:asciiTheme="minorHAnsi" w:hAnsiTheme="minorHAnsi"/>
              </w:rPr>
              <w:t>Heritability estimates are correlated with predicted co-speciation rates: 161-162, Fig 1C-D</w:t>
            </w:r>
          </w:p>
        </w:tc>
        <w:tc>
          <w:tcPr>
            <w:tcW w:w="4505" w:type="dxa"/>
          </w:tcPr>
          <w:p w14:paraId="29805472" w14:textId="23CC1CB8" w:rsidR="00BB71A3" w:rsidRDefault="00BB71A3" w:rsidP="00BB71A3">
            <w:pPr>
              <w:rPr>
                <w:rFonts w:asciiTheme="minorHAnsi" w:hAnsiTheme="minorHAnsi"/>
              </w:rPr>
            </w:pPr>
            <w:r>
              <w:rPr>
                <w:rFonts w:asciiTheme="minorHAnsi" w:hAnsiTheme="minorHAnsi"/>
              </w:rPr>
              <w:t>Spearman’s correlation</w:t>
            </w:r>
          </w:p>
        </w:tc>
      </w:tr>
      <w:tr w:rsidR="00BB71A3" w14:paraId="1DF14A0A" w14:textId="77777777" w:rsidTr="00575CCB">
        <w:tc>
          <w:tcPr>
            <w:tcW w:w="4505" w:type="dxa"/>
          </w:tcPr>
          <w:p w14:paraId="3D93F76D" w14:textId="4FDBA5BC" w:rsidR="00BB71A3" w:rsidRDefault="00BB71A3" w:rsidP="00BB71A3">
            <w:pPr>
              <w:rPr>
                <w:rFonts w:asciiTheme="minorHAnsi" w:hAnsiTheme="minorHAnsi"/>
              </w:rPr>
            </w:pPr>
            <w:r>
              <w:rPr>
                <w:rFonts w:asciiTheme="minorHAnsi" w:hAnsiTheme="minorHAnsi"/>
              </w:rPr>
              <w:t>Genetic mapping of host loci determining microbiome composition: 175-182, Table 1, Suppl. Table 2, 630-672</w:t>
            </w:r>
          </w:p>
        </w:tc>
        <w:tc>
          <w:tcPr>
            <w:tcW w:w="4505" w:type="dxa"/>
          </w:tcPr>
          <w:p w14:paraId="4F20AB83" w14:textId="2E4504F5" w:rsidR="00BB71A3" w:rsidRDefault="00BB71A3" w:rsidP="00BB71A3">
            <w:pPr>
              <w:rPr>
                <w:rFonts w:asciiTheme="minorHAnsi" w:hAnsiTheme="minorHAnsi"/>
              </w:rPr>
            </w:pPr>
            <w:r>
              <w:rPr>
                <w:rFonts w:asciiTheme="minorHAnsi" w:hAnsiTheme="minorHAnsi"/>
              </w:rPr>
              <w:t>Linear mixed model</w:t>
            </w:r>
          </w:p>
        </w:tc>
      </w:tr>
      <w:tr w:rsidR="00BB71A3" w14:paraId="05C3F895" w14:textId="77777777" w:rsidTr="00575CCB">
        <w:tc>
          <w:tcPr>
            <w:tcW w:w="4505" w:type="dxa"/>
          </w:tcPr>
          <w:p w14:paraId="29A9B751" w14:textId="246448E3" w:rsidR="00BB71A3" w:rsidRDefault="00BB71A3" w:rsidP="00BB71A3">
            <w:pPr>
              <w:rPr>
                <w:rFonts w:asciiTheme="minorHAnsi" w:hAnsiTheme="minorHAnsi"/>
              </w:rPr>
            </w:pPr>
            <w:r>
              <w:rPr>
                <w:rFonts w:asciiTheme="minorHAnsi" w:hAnsiTheme="minorHAnsi"/>
              </w:rPr>
              <w:t>Functional annotation of candidate genes: 266, 689-702</w:t>
            </w:r>
          </w:p>
        </w:tc>
        <w:tc>
          <w:tcPr>
            <w:tcW w:w="4505" w:type="dxa"/>
          </w:tcPr>
          <w:p w14:paraId="258225B5" w14:textId="01DE6300" w:rsidR="00BB71A3" w:rsidRDefault="00BB71A3" w:rsidP="00BB71A3">
            <w:pPr>
              <w:rPr>
                <w:rFonts w:asciiTheme="minorHAnsi" w:hAnsiTheme="minorHAnsi"/>
              </w:rPr>
            </w:pPr>
            <w:r>
              <w:rPr>
                <w:rFonts w:asciiTheme="minorHAnsi" w:hAnsiTheme="minorHAnsi"/>
              </w:rPr>
              <w:t>STRING PPI enrichment test</w:t>
            </w:r>
          </w:p>
        </w:tc>
      </w:tr>
      <w:tr w:rsidR="00BB71A3" w14:paraId="73E1A6AA" w14:textId="77777777" w:rsidTr="00575CCB">
        <w:tc>
          <w:tcPr>
            <w:tcW w:w="4505" w:type="dxa"/>
          </w:tcPr>
          <w:p w14:paraId="39CF2C57" w14:textId="4EC682E4" w:rsidR="00BB71A3" w:rsidRDefault="00BB71A3" w:rsidP="00BB71A3">
            <w:pPr>
              <w:rPr>
                <w:rFonts w:asciiTheme="minorHAnsi" w:hAnsiTheme="minorHAnsi"/>
              </w:rPr>
            </w:pPr>
            <w:r>
              <w:rPr>
                <w:rFonts w:asciiTheme="minorHAnsi" w:hAnsiTheme="minorHAnsi"/>
              </w:rPr>
              <w:t>Functional annotation of candidate genes: 279-287, 703-706</w:t>
            </w:r>
          </w:p>
        </w:tc>
        <w:tc>
          <w:tcPr>
            <w:tcW w:w="4505" w:type="dxa"/>
          </w:tcPr>
          <w:p w14:paraId="5BE4CEE2" w14:textId="40C4F5F0" w:rsidR="00BB71A3" w:rsidRDefault="00BB71A3" w:rsidP="00BB71A3">
            <w:pPr>
              <w:rPr>
                <w:rFonts w:asciiTheme="minorHAnsi" w:hAnsiTheme="minorHAnsi"/>
              </w:rPr>
            </w:pPr>
            <w:r>
              <w:rPr>
                <w:rFonts w:asciiTheme="minorHAnsi" w:hAnsiTheme="minorHAnsi"/>
              </w:rPr>
              <w:t xml:space="preserve">One-tailed Fisher Exact test, BH correction for multiple testing </w:t>
            </w:r>
          </w:p>
        </w:tc>
      </w:tr>
      <w:tr w:rsidR="00BB71A3" w14:paraId="46948985" w14:textId="77777777" w:rsidTr="00575CCB">
        <w:tc>
          <w:tcPr>
            <w:tcW w:w="4505" w:type="dxa"/>
          </w:tcPr>
          <w:p w14:paraId="76DA2714" w14:textId="599B7FF5" w:rsidR="00BB71A3" w:rsidRDefault="00BB71A3" w:rsidP="00BB71A3">
            <w:pPr>
              <w:rPr>
                <w:rFonts w:asciiTheme="minorHAnsi" w:hAnsiTheme="minorHAnsi"/>
              </w:rPr>
            </w:pPr>
            <w:r>
              <w:rPr>
                <w:rFonts w:asciiTheme="minorHAnsi" w:hAnsiTheme="minorHAnsi"/>
              </w:rPr>
              <w:t>Functional annotation of candidate genes: 293-295, 707-713</w:t>
            </w:r>
          </w:p>
        </w:tc>
        <w:tc>
          <w:tcPr>
            <w:tcW w:w="4505" w:type="dxa"/>
          </w:tcPr>
          <w:p w14:paraId="2A1A1B42" w14:textId="68180A81" w:rsidR="00BB71A3" w:rsidRDefault="00BB71A3" w:rsidP="00BB71A3">
            <w:pPr>
              <w:rPr>
                <w:rFonts w:asciiTheme="minorHAnsi" w:hAnsiTheme="minorHAnsi"/>
              </w:rPr>
            </w:pPr>
            <w:r>
              <w:rPr>
                <w:rFonts w:asciiTheme="minorHAnsi" w:hAnsiTheme="minorHAnsi"/>
              </w:rPr>
              <w:t>Chi-squared</w:t>
            </w:r>
          </w:p>
        </w:tc>
      </w:tr>
      <w:tr w:rsidR="00BB71A3" w14:paraId="07254F1C" w14:textId="77777777" w:rsidTr="00575CCB">
        <w:tc>
          <w:tcPr>
            <w:tcW w:w="4505" w:type="dxa"/>
          </w:tcPr>
          <w:p w14:paraId="7A5627DB" w14:textId="5CA9F2EC" w:rsidR="00BB71A3" w:rsidRDefault="00BB71A3" w:rsidP="00BB71A3">
            <w:pPr>
              <w:rPr>
                <w:rFonts w:asciiTheme="minorHAnsi" w:hAnsiTheme="minorHAnsi"/>
              </w:rPr>
            </w:pPr>
            <w:r>
              <w:rPr>
                <w:rFonts w:asciiTheme="minorHAnsi" w:hAnsiTheme="minorHAnsi"/>
              </w:rPr>
              <w:t>Comparison of significant loci to published gut microbiome mapping studies: 312-313, 322-323, 707-713</w:t>
            </w:r>
          </w:p>
        </w:tc>
        <w:tc>
          <w:tcPr>
            <w:tcW w:w="4505" w:type="dxa"/>
          </w:tcPr>
          <w:p w14:paraId="5643EE99" w14:textId="0EAFEF69" w:rsidR="00BB71A3" w:rsidRDefault="00BB71A3" w:rsidP="00BB71A3">
            <w:pPr>
              <w:rPr>
                <w:rFonts w:asciiTheme="minorHAnsi" w:hAnsiTheme="minorHAnsi"/>
              </w:rPr>
            </w:pPr>
            <w:r>
              <w:rPr>
                <w:rFonts w:asciiTheme="minorHAnsi" w:hAnsiTheme="minorHAnsi"/>
              </w:rPr>
              <w:t>Chi-squared</w:t>
            </w:r>
          </w:p>
        </w:tc>
      </w:tr>
      <w:tr w:rsidR="00BB71A3" w14:paraId="6D0F8815" w14:textId="77777777" w:rsidTr="00575CCB">
        <w:tc>
          <w:tcPr>
            <w:tcW w:w="4505" w:type="dxa"/>
          </w:tcPr>
          <w:p w14:paraId="58F224B7" w14:textId="7480921A" w:rsidR="00BB71A3" w:rsidRDefault="00BB71A3" w:rsidP="00BB71A3">
            <w:pPr>
              <w:rPr>
                <w:rFonts w:asciiTheme="minorHAnsi" w:hAnsiTheme="minorHAnsi"/>
              </w:rPr>
            </w:pPr>
            <w:r>
              <w:rPr>
                <w:rFonts w:asciiTheme="minorHAnsi" w:hAnsiTheme="minorHAnsi"/>
              </w:rPr>
              <w:t>Proteins differentially expressed in GF vs conventional mice: 339-340, 707-713</w:t>
            </w:r>
          </w:p>
        </w:tc>
        <w:tc>
          <w:tcPr>
            <w:tcW w:w="4505" w:type="dxa"/>
          </w:tcPr>
          <w:p w14:paraId="5C776FF9" w14:textId="1CB5E456" w:rsidR="00BB71A3" w:rsidRDefault="00BB71A3" w:rsidP="00BB71A3">
            <w:pPr>
              <w:rPr>
                <w:rFonts w:asciiTheme="minorHAnsi" w:hAnsiTheme="minorHAnsi"/>
              </w:rPr>
            </w:pPr>
            <w:r>
              <w:rPr>
                <w:rFonts w:asciiTheme="minorHAnsi" w:hAnsiTheme="minorHAnsi"/>
              </w:rPr>
              <w:t>Chi-squared</w:t>
            </w:r>
          </w:p>
        </w:tc>
      </w:tr>
      <w:tr w:rsidR="00BB71A3" w14:paraId="3513CC6A" w14:textId="77777777" w:rsidTr="00575CCB">
        <w:tc>
          <w:tcPr>
            <w:tcW w:w="4505" w:type="dxa"/>
          </w:tcPr>
          <w:p w14:paraId="39B48EC0" w14:textId="3C86C398" w:rsidR="00BB71A3" w:rsidRDefault="00BB71A3" w:rsidP="00BB71A3">
            <w:pPr>
              <w:rPr>
                <w:rFonts w:asciiTheme="minorHAnsi" w:hAnsiTheme="minorHAnsi"/>
              </w:rPr>
            </w:pPr>
            <w:r>
              <w:rPr>
                <w:rFonts w:asciiTheme="minorHAnsi" w:hAnsiTheme="minorHAnsi"/>
              </w:rPr>
              <w:t>Proteins differentially expressed in GF vs conventional mice: 341-342</w:t>
            </w:r>
          </w:p>
        </w:tc>
        <w:tc>
          <w:tcPr>
            <w:tcW w:w="4505" w:type="dxa"/>
          </w:tcPr>
          <w:p w14:paraId="5ED539B5" w14:textId="33D53835" w:rsidR="00BB71A3" w:rsidRDefault="00BB71A3" w:rsidP="00BB71A3">
            <w:pPr>
              <w:rPr>
                <w:rFonts w:asciiTheme="minorHAnsi" w:hAnsiTheme="minorHAnsi"/>
              </w:rPr>
            </w:pPr>
            <w:r>
              <w:rPr>
                <w:rFonts w:asciiTheme="minorHAnsi" w:hAnsiTheme="minorHAnsi"/>
              </w:rPr>
              <w:t>STRING PPI enrichment test</w:t>
            </w:r>
          </w:p>
        </w:tc>
      </w:tr>
      <w:tr w:rsidR="00BB71A3" w14:paraId="39A5CA30" w14:textId="77777777" w:rsidTr="00575CCB">
        <w:tc>
          <w:tcPr>
            <w:tcW w:w="4505" w:type="dxa"/>
          </w:tcPr>
          <w:p w14:paraId="6043CBBF" w14:textId="1A6C48A2" w:rsidR="00BB71A3" w:rsidRDefault="00BB71A3" w:rsidP="00BB71A3">
            <w:pPr>
              <w:rPr>
                <w:rFonts w:asciiTheme="minorHAnsi" w:hAnsiTheme="minorHAnsi"/>
              </w:rPr>
            </w:pPr>
            <w:r>
              <w:rPr>
                <w:rFonts w:asciiTheme="minorHAnsi" w:hAnsiTheme="minorHAnsi"/>
              </w:rPr>
              <w:t>Candidate genes influencing bacterial abundance: 352-354</w:t>
            </w:r>
          </w:p>
        </w:tc>
        <w:tc>
          <w:tcPr>
            <w:tcW w:w="4505" w:type="dxa"/>
          </w:tcPr>
          <w:p w14:paraId="23EC41D2" w14:textId="7944A7CB" w:rsidR="00BB71A3" w:rsidRDefault="00BB71A3" w:rsidP="00BB71A3">
            <w:pPr>
              <w:rPr>
                <w:rFonts w:asciiTheme="minorHAnsi" w:hAnsiTheme="minorHAnsi"/>
              </w:rPr>
            </w:pPr>
            <w:r>
              <w:rPr>
                <w:rFonts w:asciiTheme="minorHAnsi" w:hAnsiTheme="minorHAnsi"/>
              </w:rPr>
              <w:t>STRING PPI enrichment test</w:t>
            </w:r>
          </w:p>
        </w:tc>
      </w:tr>
    </w:tbl>
    <w:p w14:paraId="570B6600" w14:textId="77777777" w:rsidR="00BB71A3" w:rsidRDefault="00BB71A3" w:rsidP="00FD4937">
      <w:pPr>
        <w:rPr>
          <w:rFonts w:asciiTheme="minorHAnsi" w:hAnsiTheme="minorHAnsi"/>
          <w:b/>
        </w:rPr>
      </w:pP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lastRenderedPageBreak/>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F3EFDA0" w:rsidR="00FD4937" w:rsidRPr="00505C51" w:rsidRDefault="00BB71A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do not have different experimental groups.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34DE5C5" w14:textId="77777777" w:rsidR="00BB71A3" w:rsidRDefault="00BB71A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BB71A3">
        <w:rPr>
          <w:rFonts w:asciiTheme="minorHAnsi" w:hAnsiTheme="minorHAnsi" w:cstheme="minorHAnsi"/>
          <w:sz w:val="22"/>
          <w:szCs w:val="22"/>
        </w:rPr>
        <w:t xml:space="preserve">All the scripts used for performing data analysis and visualisation are available at </w:t>
      </w:r>
      <w:hyperlink r:id="rId12" w:history="1">
        <w:r w:rsidRPr="00BB71A3">
          <w:rPr>
            <w:rStyle w:val="Hyperlink"/>
            <w:rFonts w:asciiTheme="minorHAnsi" w:hAnsiTheme="minorHAnsi" w:cstheme="minorHAnsi"/>
            <w:sz w:val="22"/>
            <w:szCs w:val="22"/>
          </w:rPr>
          <w:t>https://github.com/sdoms/mapping_scripts</w:t>
        </w:r>
      </w:hyperlink>
      <w:r w:rsidRPr="00BB71A3">
        <w:rPr>
          <w:rFonts w:asciiTheme="minorHAnsi" w:hAnsiTheme="minorHAnsi" w:cstheme="minorHAnsi"/>
          <w:sz w:val="22"/>
          <w:szCs w:val="22"/>
        </w:rPr>
        <w:t xml:space="preserve">, including the genotype and phenotype data files, allowing all figures and tables to be reproduced. </w:t>
      </w:r>
    </w:p>
    <w:p w14:paraId="4E472B0E" w14:textId="34D15E0E" w:rsidR="00FD4937" w:rsidRPr="00BB71A3" w:rsidRDefault="00BB71A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sz w:val="22"/>
          <w:szCs w:val="22"/>
        </w:rPr>
        <w:t xml:space="preserve">In addition: </w:t>
      </w:r>
      <w:r w:rsidRPr="00BB71A3">
        <w:rPr>
          <w:rFonts w:asciiTheme="minorHAnsi" w:hAnsiTheme="minorHAnsi" w:cstheme="minorHAnsi"/>
          <w:sz w:val="22"/>
          <w:szCs w:val="22"/>
        </w:rPr>
        <w:br/>
        <w:t>Fig 1: heritability estimates provided as Suppl. Table 1</w:t>
      </w:r>
    </w:p>
    <w:p w14:paraId="5DAB80A4" w14:textId="32AB5666" w:rsidR="00BB71A3" w:rsidRPr="00BB71A3" w:rsidRDefault="00BB71A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BB71A3">
        <w:rPr>
          <w:rFonts w:asciiTheme="minorHAnsi" w:hAnsiTheme="minorHAnsi" w:cstheme="minorHAnsi"/>
          <w:sz w:val="22"/>
          <w:szCs w:val="22"/>
        </w:rPr>
        <w:t>Fig 2, Table 1: Genome-wide significant associations provided as Suppl. Table 2, Study-wide significant associations provided as Suppl. Table 3</w:t>
      </w:r>
    </w:p>
    <w:p w14:paraId="1462541A" w14:textId="31AB4375" w:rsidR="00BB71A3" w:rsidRPr="00BB71A3" w:rsidRDefault="00BB71A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BB71A3">
        <w:rPr>
          <w:rFonts w:asciiTheme="minorHAnsi" w:hAnsiTheme="minorHAnsi" w:cstheme="minorHAnsi"/>
          <w:sz w:val="22"/>
          <w:szCs w:val="22"/>
        </w:rPr>
        <w:t>Fig 6: Candidate genes provided in Suppl. Table 7</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0933" w14:textId="77777777" w:rsidR="006A6E46" w:rsidRDefault="006A6E46">
      <w:r>
        <w:separator/>
      </w:r>
    </w:p>
  </w:endnote>
  <w:endnote w:type="continuationSeparator" w:id="0">
    <w:p w14:paraId="6957D5C0" w14:textId="77777777" w:rsidR="006A6E46" w:rsidRDefault="006A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ED8D" w14:textId="77777777" w:rsidR="006A6E46" w:rsidRDefault="006A6E46">
      <w:r>
        <w:separator/>
      </w:r>
    </w:p>
  </w:footnote>
  <w:footnote w:type="continuationSeparator" w:id="0">
    <w:p w14:paraId="7F0F32D5" w14:textId="77777777" w:rsidR="006A6E46" w:rsidRDefault="006A6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C71D1"/>
    <w:rsid w:val="00227E3D"/>
    <w:rsid w:val="00332DC6"/>
    <w:rsid w:val="0036144F"/>
    <w:rsid w:val="006A6E46"/>
    <w:rsid w:val="007C36A3"/>
    <w:rsid w:val="00A0248A"/>
    <w:rsid w:val="00AA64E1"/>
    <w:rsid w:val="00B45BE9"/>
    <w:rsid w:val="00BB71A3"/>
    <w:rsid w:val="00BE5736"/>
    <w:rsid w:val="00C86A1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BB71A3"/>
    <w:rPr>
      <w:color w:val="605E5C"/>
      <w:shd w:val="clear" w:color="auto" w:fill="E1DFDD"/>
    </w:rPr>
  </w:style>
  <w:style w:type="table" w:styleId="TableGrid">
    <w:name w:val="Table Grid"/>
    <w:basedOn w:val="TableNormal"/>
    <w:uiPriority w:val="39"/>
    <w:rsid w:val="00BB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6320</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2021-11-24T12:16:00Z</dcterms:created>
  <dcterms:modified xsi:type="dcterms:W3CDTF">2021-11-24T12:16:00Z</dcterms:modified>
</cp:coreProperties>
</file>