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D5" w:rsidRDefault="00A40AD5" w:rsidP="00A40AD5">
      <w:pPr>
        <w:keepNext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="007A5EC2">
        <w:rPr>
          <w:b/>
          <w:sz w:val="24"/>
          <w:szCs w:val="24"/>
        </w:rPr>
        <w:t>file</w:t>
      </w:r>
      <w:bookmarkStart w:id="0" w:name="_GoBack"/>
      <w:bookmarkEnd w:id="0"/>
      <w:r>
        <w:rPr>
          <w:b/>
          <w:sz w:val="24"/>
          <w:szCs w:val="24"/>
        </w:rPr>
        <w:t xml:space="preserve"> 1</w:t>
      </w:r>
      <w:r w:rsidRPr="0068260B">
        <w:rPr>
          <w:b/>
          <w:sz w:val="24"/>
          <w:szCs w:val="24"/>
        </w:rPr>
        <w:t xml:space="preserve">. </w:t>
      </w:r>
      <w:r w:rsidRPr="0068260B">
        <w:rPr>
          <w:sz w:val="24"/>
          <w:szCs w:val="24"/>
        </w:rPr>
        <w:t>Criteria defining RBD-ACE2 binding inhibition (studies testing two-component spike nanoparticle vaccine) or neutralization measured on live cells with luciferase marker (mRNA-1273) as mechanistic correlate of protection of the effect of the vaccine on new cell infection. Studies are labelled Study 1 and Study 2 for the main and the additional studies testing two-component spike nanoparticle vaccine, respectively and mRNA-1273 for the third study evaluating several doses of mRNA-1273 vaccine.</w:t>
      </w: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020"/>
        <w:gridCol w:w="2700"/>
        <w:gridCol w:w="2680"/>
        <w:gridCol w:w="2180"/>
        <w:gridCol w:w="2380"/>
      </w:tblGrid>
      <w:tr w:rsidR="00A40AD5" w:rsidRPr="00D72404" w:rsidTr="00E45610">
        <w:trPr>
          <w:trHeight w:val="360"/>
        </w:trPr>
        <w:tc>
          <w:tcPr>
            <w:tcW w:w="386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Model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Study 1 </w:t>
            </w:r>
          </w:p>
        </w:tc>
        <w:tc>
          <w:tcPr>
            <w:tcW w:w="2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Study 1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Study 2</w:t>
            </w:r>
          </w:p>
        </w:tc>
        <w:tc>
          <w:tcPr>
            <w:tcW w:w="23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mRNA-1273</w:t>
            </w:r>
          </w:p>
        </w:tc>
      </w:tr>
      <w:tr w:rsidR="00A40AD5" w:rsidRPr="00D72404" w:rsidTr="00E45610">
        <w:trPr>
          <w:trHeight w:val="585"/>
        </w:trPr>
        <w:tc>
          <w:tcPr>
            <w:tcW w:w="386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RBD-ACE2 binding     </w:t>
            </w:r>
            <w:r>
              <w:rPr>
                <w:rFonts w:ascii="Calibri" w:hAnsi="Calibri" w:cs="Calibri"/>
                <w:color w:val="000000"/>
                <w:lang w:eastAsia="fr-FR"/>
              </w:rPr>
              <w:t xml:space="preserve">  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>inhibition on 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RBD-ACE2 binding  </w:t>
            </w:r>
            <w:r>
              <w:rPr>
                <w:rFonts w:ascii="Calibri" w:hAnsi="Calibri" w:cs="Calibri"/>
                <w:color w:val="000000"/>
                <w:lang w:eastAsia="fr-FR"/>
              </w:rPr>
              <w:t xml:space="preserve">   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 inhibition on 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RBD-ACE2 binding inhibition on 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Neutralization on β</w:t>
            </w:r>
          </w:p>
        </w:tc>
      </w:tr>
      <w:tr w:rsidR="00A40AD5" w:rsidRPr="00D72404" w:rsidTr="00E45610">
        <w:trPr>
          <w:trHeight w:val="36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Type of covariates added in the model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Time-varying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Baseline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Baseline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Baseline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Criterion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Without adjustment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793.71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793.71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427.63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469.13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Best fits              (BICc Value)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Group effect (β and δ)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772.34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772.34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404.80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468.70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left w:val="nil"/>
              <w:right w:val="nil"/>
            </w:tcBorders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Marker effect only (β)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765.76</w:t>
            </w:r>
          </w:p>
        </w:tc>
        <w:tc>
          <w:tcPr>
            <w:tcW w:w="26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765.22</w:t>
            </w: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413.35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467.21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left w:val="nil"/>
              <w:bottom w:val="dashed" w:sz="4" w:space="0" w:color="5B9BD5"/>
              <w:right w:val="nil"/>
            </w:tcBorders>
            <w:vAlign w:val="center"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left w:val="nil"/>
              <w:bottom w:val="dashed" w:sz="4" w:space="0" w:color="5B9BD5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Marker (β) and Group (δ) effects</w:t>
            </w:r>
          </w:p>
        </w:tc>
        <w:tc>
          <w:tcPr>
            <w:tcW w:w="2700" w:type="dxa"/>
            <w:tcBorders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762.69</w:t>
            </w:r>
          </w:p>
        </w:tc>
        <w:tc>
          <w:tcPr>
            <w:tcW w:w="2680" w:type="dxa"/>
            <w:tcBorders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762.53</w:t>
            </w:r>
          </w:p>
        </w:tc>
        <w:tc>
          <w:tcPr>
            <w:tcW w:w="2180" w:type="dxa"/>
            <w:tcBorders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</w:tcPr>
          <w:p w:rsidR="00A40AD5" w:rsidRPr="00A40AD5" w:rsidRDefault="00A40AD5" w:rsidP="00E45610">
            <w:pPr>
              <w:jc w:val="center"/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407.66</w:t>
            </w:r>
          </w:p>
        </w:tc>
        <w:tc>
          <w:tcPr>
            <w:tcW w:w="2380" w:type="dxa"/>
            <w:tcBorders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Criterion 2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Group effect (β and δ)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iCs/>
                <w:color w:val="000000" w:themeColor="text1"/>
                <w:lang w:eastAsia="fr-FR"/>
              </w:rPr>
              <w:t>Conv</w:t>
            </w:r>
            <w:r w:rsidRPr="00A40AD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fr-FR"/>
              </w:rPr>
              <w:t>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-0.747** (0.255)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Conv: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-0.747** (0.255)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Vacc: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-6.01**** (0.8)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10µg: 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>-0.267 (0.578)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i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iCs/>
                <w:color w:val="000000" w:themeColor="text1"/>
                <w:lang w:eastAsia="fr-FR"/>
              </w:rPr>
              <w:t xml:space="preserve">Conv-CD40: </w:t>
            </w:r>
            <w:r w:rsidRPr="00A40AD5">
              <w:rPr>
                <w:rFonts w:ascii="Calibri" w:hAnsi="Calibri" w:cs="Calibri"/>
                <w:iCs/>
                <w:color w:val="000000" w:themeColor="text1"/>
                <w:lang w:eastAsia="fr-FR"/>
              </w:rPr>
              <w:t>-2.38*** (0.265)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Conv-CD40: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-2.38*** (0.265)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100µg: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-1.6** (0.621)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 w:val="restart"/>
            <w:tcBorders>
              <w:top w:val="nil"/>
              <w:left w:val="nil"/>
              <w:bottom w:val="dashed" w:sz="4" w:space="0" w:color="5B9BD5"/>
              <w:right w:val="nil"/>
            </w:tcBorders>
            <w:shd w:val="clear" w:color="000000" w:fill="FFFFFF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Group effect (Value (Sd))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dashed" w:sz="4" w:space="0" w:color="5B9BD5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Group (β and δ) &amp; marker (β)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iCs/>
                <w:color w:val="000000" w:themeColor="text1"/>
                <w:lang w:eastAsia="fr-FR"/>
              </w:rPr>
              <w:t>Conv</w:t>
            </w:r>
            <w:r w:rsidRPr="00A40AD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fr-FR"/>
              </w:rPr>
              <w:t xml:space="preserve">: </w:t>
            </w:r>
            <w:r w:rsidRPr="00A40AD5">
              <w:rPr>
                <w:rFonts w:ascii="Calibri" w:hAnsi="Calibri" w:cs="Calibri"/>
                <w:i/>
                <w:iCs/>
                <w:color w:val="000000" w:themeColor="text1"/>
                <w:lang w:eastAsia="fr-FR"/>
              </w:rPr>
              <w:t xml:space="preserve">0.00428 (1.71)          </w:t>
            </w:r>
            <w:r w:rsidRPr="00A40AD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Conv: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0.303 (0.864)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Vacc: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2.31 (1.18)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10µg: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0.105(0.646)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top w:val="nil"/>
              <w:left w:val="nil"/>
              <w:bottom w:val="dashed" w:sz="4" w:space="0" w:color="5B9BD5"/>
              <w:right w:val="nil"/>
            </w:tcBorders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dashed" w:sz="4" w:space="0" w:color="5B9BD5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Conv-CD40: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0.1 (2.79)</w:t>
            </w:r>
          </w:p>
        </w:tc>
        <w:tc>
          <w:tcPr>
            <w:tcW w:w="2680" w:type="dxa"/>
            <w:tcBorders>
              <w:top w:val="nil"/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Conv-CD40: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0.362 (1.14)</w:t>
            </w:r>
          </w:p>
        </w:tc>
        <w:tc>
          <w:tcPr>
            <w:tcW w:w="2180" w:type="dxa"/>
            <w:tcBorders>
              <w:top w:val="nil"/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4" w:space="0" w:color="5B9BD5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100µg: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3.10-4 (0.84)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Criterion 3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Group effect (β and δ)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β: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65.5 %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β: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65.5 %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β: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64.9 %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β: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18.5 %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color w:val="000000"/>
                <w:lang w:eastAsia="fr-FR"/>
              </w:rPr>
              <w:t>Expl. variability for β or δ (relative %</w:t>
            </w:r>
            <w:r w:rsidRPr="00D72404">
              <w:rPr>
                <w:rFonts w:ascii="Calibri" w:hAnsi="Calibri" w:cs="Calibri"/>
                <w:color w:val="000000"/>
                <w:vertAlign w:val="superscript"/>
                <w:lang w:eastAsia="fr-FR"/>
              </w:rPr>
              <w:t>1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δ: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54 %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δ: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54 %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δ: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58.2 %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δ: 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>4.6%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left w:val="nil"/>
              <w:right w:val="nil"/>
            </w:tcBorders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Marker effect (β)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β: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87.4 %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β: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82.7 %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>β: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 xml:space="preserve"> 70.8 %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β: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 xml:space="preserve"> 15.4 %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left w:val="nil"/>
              <w:right w:val="nil"/>
            </w:tcBorders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δ: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27.1 %</w:t>
            </w:r>
          </w:p>
        </w:tc>
        <w:tc>
          <w:tcPr>
            <w:tcW w:w="268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δ: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31.6%</w:t>
            </w: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A40AD5" w:rsidRDefault="00A40AD5" w:rsidP="00E45610">
            <w:pPr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b/>
                <w:bCs/>
                <w:color w:val="000000" w:themeColor="text1"/>
                <w:lang w:eastAsia="fr-FR"/>
              </w:rPr>
              <w:t xml:space="preserve">δ: </w:t>
            </w: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-17%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AD5" w:rsidRPr="00D72404" w:rsidRDefault="00A40AD5" w:rsidP="00E45610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D72404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 xml:space="preserve">δ: </w:t>
            </w:r>
            <w:r w:rsidRPr="00D72404">
              <w:rPr>
                <w:rFonts w:ascii="Calibri" w:hAnsi="Calibri" w:cs="Calibri"/>
                <w:color w:val="000000"/>
                <w:lang w:eastAsia="fr-FR"/>
              </w:rPr>
              <w:t>19.1 %</w:t>
            </w: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vMerge/>
            <w:tcBorders>
              <w:left w:val="nil"/>
              <w:right w:val="nil"/>
            </w:tcBorders>
            <w:vAlign w:val="center"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  <w:r w:rsidRPr="00A40AD5">
              <w:rPr>
                <w:rFonts w:ascii="Calibri" w:hAnsi="Calibri" w:cs="Calibri"/>
                <w:color w:val="000000" w:themeColor="text1"/>
                <w:lang w:eastAsia="fr-FR"/>
              </w:rPr>
              <w:t>Marker (β) and Group (δ) effects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AD5" w:rsidRPr="00A40AD5" w:rsidRDefault="00A40AD5" w:rsidP="00E456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40A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β:</w:t>
            </w:r>
            <w:r w:rsidRPr="00A40AD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79 %</w:t>
            </w:r>
            <w:r w:rsidRPr="00A40AD5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AD5" w:rsidRPr="00A40AD5" w:rsidRDefault="00A40AD5" w:rsidP="00E456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40A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β:</w:t>
            </w:r>
            <w:r w:rsidRPr="00A40AD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75.4 %</w:t>
            </w:r>
            <w:r w:rsidRPr="00A40AD5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AD5" w:rsidRPr="00A40AD5" w:rsidRDefault="00A40AD5" w:rsidP="00E456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40A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β:</w:t>
            </w:r>
            <w:r w:rsidRPr="00A40AD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66 %</w:t>
            </w:r>
            <w:r w:rsidRPr="00A40AD5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A40AD5" w:rsidRPr="00D72404" w:rsidRDefault="00A40AD5" w:rsidP="00E45610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A40AD5" w:rsidRPr="00D72404" w:rsidTr="00E45610">
        <w:trPr>
          <w:trHeight w:val="360"/>
        </w:trPr>
        <w:tc>
          <w:tcPr>
            <w:tcW w:w="18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40AD5" w:rsidRPr="00D72404" w:rsidRDefault="00A40AD5" w:rsidP="00E45610">
            <w:pPr>
              <w:rPr>
                <w:rFonts w:ascii="Calibri" w:hAnsi="Calibri" w:cs="Calibri"/>
                <w:color w:val="000000"/>
                <w:lang w:eastAsia="fr-FR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A40AD5" w:rsidRPr="00A40AD5" w:rsidRDefault="00A40AD5" w:rsidP="00E45610">
            <w:pPr>
              <w:rPr>
                <w:rFonts w:ascii="Calibri" w:hAnsi="Calibri" w:cs="Calibri"/>
                <w:color w:val="000000" w:themeColor="text1"/>
                <w:lang w:eastAsia="fr-F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40AD5" w:rsidRPr="00A40AD5" w:rsidRDefault="00A40AD5" w:rsidP="00E456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40A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δ: </w:t>
            </w:r>
            <w:r w:rsidRPr="00A40AD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56.7 %</w:t>
            </w:r>
            <w:r w:rsidRPr="00A40AD5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40AD5" w:rsidRPr="00A40AD5" w:rsidRDefault="00A40AD5" w:rsidP="00E456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40A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δ: </w:t>
            </w:r>
            <w:r w:rsidRPr="00A40AD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65.6 %</w:t>
            </w:r>
            <w:r w:rsidRPr="00A40AD5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40AD5" w:rsidRPr="00A40AD5" w:rsidRDefault="00A40AD5" w:rsidP="00E456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40A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δ: </w:t>
            </w:r>
            <w:r w:rsidRPr="00A40AD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69.9 %</w:t>
            </w:r>
            <w:r w:rsidRPr="00A40AD5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:rsidR="00A40AD5" w:rsidRPr="00D72404" w:rsidRDefault="00A40AD5" w:rsidP="00E45610">
            <w:pPr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A40AD5" w:rsidRPr="008B20B9" w:rsidTr="00E45610">
        <w:trPr>
          <w:trHeight w:val="240"/>
        </w:trPr>
        <w:tc>
          <w:tcPr>
            <w:tcW w:w="138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5D45E2" w:rsidRDefault="00A40AD5" w:rsidP="00E45610">
            <w:pPr>
              <w:rPr>
                <w:rFonts w:asciiTheme="minorHAnsi" w:hAnsiTheme="minorHAnsi" w:cstheme="minorHAnsi"/>
                <w:i/>
                <w:iCs/>
                <w:lang w:eastAsia="fr-FR"/>
              </w:rPr>
            </w:pPr>
            <w:r w:rsidRPr="005D45E2">
              <w:rPr>
                <w:rFonts w:asciiTheme="minorHAnsi" w:hAnsiTheme="minorHAnsi" w:cstheme="minorHAnsi"/>
                <w:i/>
                <w:iCs/>
                <w:vertAlign w:val="superscript"/>
                <w:lang w:eastAsia="fr-FR"/>
              </w:rPr>
              <w:t>1</w:t>
            </w:r>
            <w:r w:rsidRPr="005D45E2">
              <w:rPr>
                <w:rFonts w:asciiTheme="minorHAnsi" w:hAnsiTheme="minorHAnsi" w:cstheme="minorHAnsi"/>
                <w:i/>
                <w:iCs/>
                <w:lang w:eastAsia="fr-FR"/>
              </w:rPr>
              <w:t xml:space="preserve"> Relative percentage of inter-individual variability compared to variability obtained on model without any adjustment  ; 100-(x*100)/ref</w:t>
            </w:r>
          </w:p>
        </w:tc>
      </w:tr>
      <w:tr w:rsidR="00A40AD5" w:rsidRPr="008B20B9" w:rsidTr="00E45610">
        <w:trPr>
          <w:trHeight w:val="240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0AD5" w:rsidRPr="005D45E2" w:rsidRDefault="00A40AD5" w:rsidP="00E45610">
            <w:pPr>
              <w:rPr>
                <w:rFonts w:asciiTheme="minorHAnsi" w:hAnsiTheme="minorHAnsi" w:cstheme="minorHAnsi"/>
                <w:i/>
                <w:iCs/>
                <w:lang w:eastAsia="fr-FR"/>
              </w:rPr>
            </w:pPr>
            <w:r w:rsidRPr="005D45E2">
              <w:rPr>
                <w:rFonts w:asciiTheme="minorHAnsi" w:hAnsiTheme="minorHAnsi" w:cstheme="minorHAnsi"/>
                <w:i/>
                <w:iCs/>
                <w:lang w:eastAsia="fr-FR"/>
              </w:rPr>
              <w:t>* P &lt; 0.05, **P &lt; 0.01, ***P &lt; 0.001, ****P&lt;1e-4, Wald test for fold change different from 1</w:t>
            </w:r>
          </w:p>
        </w:tc>
      </w:tr>
    </w:tbl>
    <w:p w:rsidR="00740543" w:rsidRDefault="007A5EC2"/>
    <w:sectPr w:rsidR="00740543" w:rsidSect="00A40A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D5"/>
    <w:rsid w:val="000470AF"/>
    <w:rsid w:val="00095A35"/>
    <w:rsid w:val="002B1A43"/>
    <w:rsid w:val="00537279"/>
    <w:rsid w:val="00606F1B"/>
    <w:rsid w:val="007A5EC2"/>
    <w:rsid w:val="00A40AD5"/>
    <w:rsid w:val="00B76937"/>
    <w:rsid w:val="00BF05E6"/>
    <w:rsid w:val="00CB4733"/>
    <w:rsid w:val="00D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0F87-5F9B-4DAF-8154-ECF7B64C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AD5"/>
    <w:pPr>
      <w:spacing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A40AD5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Policepardfaut"/>
    <w:rsid w:val="00A40AD5"/>
  </w:style>
  <w:style w:type="character" w:customStyle="1" w:styleId="eop">
    <w:name w:val="eop"/>
    <w:basedOn w:val="Policepardfaut"/>
    <w:rsid w:val="00A4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1747</Characters>
  <Application>Microsoft Office Word</Application>
  <DocSecurity>0</DocSecurity>
  <Lines>14</Lines>
  <Paragraphs>4</Paragraphs>
  <ScaleCrop>false</ScaleCrop>
  <Company>HP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alexandre</dc:creator>
  <cp:keywords/>
  <dc:description/>
  <cp:lastModifiedBy>marie alexandre</cp:lastModifiedBy>
  <cp:revision>2</cp:revision>
  <dcterms:created xsi:type="dcterms:W3CDTF">2022-04-25T10:12:00Z</dcterms:created>
  <dcterms:modified xsi:type="dcterms:W3CDTF">2022-04-25T10:18:00Z</dcterms:modified>
</cp:coreProperties>
</file>