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i/>
          <w:i/>
          <w:sz w:val="28"/>
          <w:szCs w:val="28"/>
        </w:rPr>
      </w:pPr>
      <w:r>
        <w:rPr>
          <w:rFonts w:asciiTheme="minorHAnsi" w:hAnsiTheme="minorHAnsi"/>
          <w:b/>
          <w:bCs/>
          <w:i/>
          <w:sz w:val="28"/>
          <w:szCs w:val="28"/>
        </w:rPr>
      </w:r>
      <w:bookmarkStart w:id="0" w:name="_heading=h.gjdgxs"/>
      <w:bookmarkStart w:id="1" w:name="_heading=h.gjdgxs"/>
      <w:bookmarkEnd w:id="1"/>
    </w:p>
    <w:p>
      <w:pPr>
        <w:pStyle w:val="Normal"/>
        <w:rPr>
          <w:rFonts w:ascii="Calibri" w:hAnsi="Calibri" w:asciiTheme="minorHAnsi" w:hAnsiTheme="minorHAnsi"/>
          <w:b/>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rFonts w:ascii="Calibri" w:hAnsi="Calibri"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2" w:tgtFrame="_blank">
        <w:r>
          <w:rPr>
            <w:rStyle w:val="InternetLink"/>
            <w:rFonts w:asciiTheme="minorHAnsi" w:hAnsiTheme="minorHAnsi"/>
            <w:bCs/>
            <w:sz w:val="22"/>
            <w:szCs w:val="22"/>
          </w:rPr>
          <w:t>EQUATOR Network</w:t>
        </w:r>
      </w:hyperlink>
      <w:r>
        <w:rPr>
          <w:rFonts w:asciiTheme="minorHAnsi" w:hAnsiTheme="minorHAnsi"/>
          <w:bCs/>
          <w:sz w:val="22"/>
          <w:szCs w:val="22"/>
        </w:rPr>
        <w:t>), life science research (see the </w:t>
      </w:r>
      <w:hyperlink r:id="rId3" w:tgtFrame="_blank">
        <w:r>
          <w:rPr>
            <w:rStyle w:val="InternetLink"/>
            <w:rFonts w:asciiTheme="minorHAnsi" w:hAnsiTheme="minorHAnsi"/>
            <w:bCs/>
            <w:sz w:val="22"/>
            <w:szCs w:val="22"/>
          </w:rPr>
          <w:t>BioSharing Information Resource</w:t>
        </w:r>
      </w:hyperlink>
      <w:r>
        <w:rPr>
          <w:rFonts w:asciiTheme="minorHAnsi" w:hAnsiTheme="minorHAnsi"/>
          <w:bCs/>
          <w:sz w:val="22"/>
          <w:szCs w:val="22"/>
        </w:rPr>
        <w:t>), or the </w:t>
      </w:r>
      <w:hyperlink r:id="rId4" w:tgtFrame="_blank">
        <w:r>
          <w:rPr>
            <w:rStyle w:val="InternetLink"/>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bCs/>
        </w:rPr>
      </w:r>
    </w:p>
    <w:p>
      <w:pPr>
        <w:pStyle w:val="Normal"/>
        <w:rPr>
          <w:rFonts w:ascii="Calibri" w:hAnsi="Calibri" w:asciiTheme="minorHAnsi" w:hAnsiTheme="minorHAnsi"/>
          <w:b/>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5">
        <w:r>
          <w:rPr>
            <w:rStyle w:val="InternetLink"/>
            <w:rFonts w:asciiTheme="minorHAnsi" w:hAnsiTheme="minorHAnsi"/>
            <w:bCs/>
            <w:sz w:val="22"/>
            <w:szCs w:val="22"/>
          </w:rPr>
          <w:t>editorial@elifesciences.org</w:t>
        </w:r>
      </w:hyperlink>
      <w:r>
        <w:rPr>
          <w:rFonts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b/>
          <w:bCs/>
          <w:color w:val="3366FF"/>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pBdr/>
        <w:rPr>
          <w:rFonts w:ascii="Calibri" w:hAnsi="Calibri" w:asciiTheme="minorHAnsi" w:hAnsiTheme="minorHAnsi"/>
        </w:rPr>
        <w:framePr w:w="7817" w:h="1282"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rPr>
        <w:t xml:space="preserve">For the CapClamp experiments in rat dentate gyrus granule cells, we indicate the number of cells per protocol in the respective figures (Fig3: measuring clamped capacitance, Fig4: analysis of spiking at different capacitances, Fig5: temporal integration and charge transfer at different capacitances). </w:t>
      </w:r>
    </w:p>
    <w:p>
      <w:pPr>
        <w:pStyle w:val="Normal"/>
        <w:rPr>
          <w:rFonts w:ascii="Calibri" w:hAnsi="Calibri" w:asciiTheme="minorHAnsi" w:hAnsiTheme="minorHAnsi"/>
          <w:sz w:val="22"/>
          <w:szCs w:val="22"/>
        </w:rPr>
      </w:pPr>
      <w:r>
        <w:rPr>
          <w:rFonts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b/>
          <w:bCs/>
        </w:rPr>
      </w:r>
    </w:p>
    <w:p>
      <w:pPr>
        <w:pStyle w:val="Normal"/>
        <w:pBdr/>
        <w:rPr>
          <w:rFonts w:ascii="Calibri" w:hAnsi="Calibri" w:asciiTheme="minorHAnsi" w:hAnsiTheme="minorHAnsi"/>
        </w:rPr>
        <w:framePr w:w="7817" w:h="1088"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rPr>
        <w:t xml:space="preserve">For each experimental protocol (e.g. capacitance measurement via step current injection or measurement of fI curve), the corresponding number of repetitions are indicated in the “Material and Methods” section. </w:t>
      </w:r>
    </w:p>
    <w:p>
      <w:pPr>
        <w:pStyle w:val="Normal"/>
        <w:rPr>
          <w:rFonts w:ascii="Calibri" w:hAnsi="Calibri" w:asciiTheme="minorHAnsi" w:hAnsiTheme="minorHAnsi"/>
          <w:b/>
          <w:b/>
          <w:bCs/>
        </w:rPr>
      </w:pPr>
      <w:r>
        <w:rPr>
          <w:rFonts w:asciiTheme="minorHAnsi" w:hAnsiTheme="minorHAnsi"/>
          <w:b/>
          <w:bCs/>
        </w:rPr>
      </w:r>
      <w:r>
        <w:br w:type="page"/>
      </w:r>
    </w:p>
    <w:p>
      <w:pPr>
        <w:pStyle w:val="Normal"/>
        <w:rPr>
          <w:rFonts w:ascii="Calibri" w:hAnsi="Calibri" w:asciiTheme="minorHAnsi" w:hAnsiTheme="minorHAnsi"/>
          <w:sz w:val="22"/>
          <w:szCs w:val="22"/>
        </w:rPr>
      </w:pPr>
      <w:r>
        <w:rPr>
          <w:rFonts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pBdr/>
        <w:rPr>
          <w:rFonts w:ascii="Calibri" w:hAnsi="Calibri" w:asciiTheme="minorHAnsi" w:hAnsiTheme="minorHAnsi"/>
          <w:sz w:val="22"/>
          <w:szCs w:val="22"/>
        </w:rPr>
        <w:framePr w:w="7817" w:h="1088" w:x="1904" w:y="2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sz w:val="22"/>
          <w:szCs w:val="22"/>
        </w:rPr>
        <w:t>All statistical analysis methods are described either in the figure legends, the corresponding “Results” or “Material and Methods” sections.</w:t>
      </w:r>
    </w:p>
    <w:p>
      <w:pPr>
        <w:pStyle w:val="Normal"/>
        <w:rPr>
          <w:rFonts w:ascii="Calibri" w:hAnsi="Calibri" w:asciiTheme="minorHAnsi" w:hAnsiTheme="minorHAnsi"/>
          <w:b/>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b/>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b/>
        </w:rPr>
      </w:r>
    </w:p>
    <w:p>
      <w:pPr>
        <w:pStyle w:val="Normal"/>
        <w:pBdr/>
        <w:rPr>
          <w:rFonts w:ascii="Calibri" w:hAnsi="Calibri" w:asciiTheme="minorHAnsi" w:hAnsiTheme="minorHAnsi"/>
          <w:sz w:val="22"/>
          <w:szCs w:val="22"/>
        </w:rPr>
        <w:framePr w:w="7817" w:h="1186"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sz w:val="22"/>
          <w:szCs w:val="22"/>
        </w:rPr>
        <w:t xml:space="preserve">This information does not directly apply to our submission, as we did not consider different groups of cells. </w:t>
      </w:r>
      <w:r>
        <w:rPr>
          <w:rFonts w:asciiTheme="minorHAnsi" w:hAnsiTheme="minorHAnsi"/>
          <w:sz w:val="22"/>
          <w:szCs w:val="22"/>
        </w:rPr>
        <w:t>W</w:t>
      </w:r>
      <w:r>
        <w:rPr>
          <w:rFonts w:asciiTheme="minorHAnsi" w:hAnsiTheme="minorHAnsi"/>
          <w:sz w:val="22"/>
          <w:szCs w:val="22"/>
        </w:rPr>
        <w:t xml:space="preserve">e clamped each cell at the multiples of its initial near capacitance with factors ranging from 0.6 to 3.0 as described in </w:t>
      </w:r>
      <w:r>
        <w:rPr>
          <w:rFonts w:asciiTheme="minorHAnsi" w:hAnsiTheme="minorHAnsi"/>
          <w:sz w:val="22"/>
          <w:szCs w:val="22"/>
        </w:rPr>
        <w:t>section “2.4 Experimental demonstration of the CapClamp in rat dentate gyrus granule cells”.</w:t>
      </w:r>
    </w:p>
    <w:p>
      <w:pPr>
        <w:pStyle w:val="Normal"/>
        <w:rPr>
          <w:rFonts w:ascii="Calibri" w:hAnsi="Calibri" w:asciiTheme="minorHAnsi" w:hAnsiTheme="minorHAnsi"/>
          <w:b/>
          <w:b/>
          <w:sz w:val="22"/>
          <w:szCs w:val="22"/>
        </w:rPr>
      </w:pPr>
      <w:r>
        <w:rPr>
          <w:rFonts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Fonts w:asciiTheme="minorHAnsi" w:hAnsiTheme="minorHAnsi"/>
          <w:sz w:val="22"/>
          <w:szCs w:val="22"/>
        </w:rPr>
      </w:r>
    </w:p>
    <w:p>
      <w:pPr>
        <w:pStyle w:val="Normal"/>
        <w:pBdr/>
        <w:rPr>
          <w:rFonts w:ascii="Calibri" w:hAnsi="Calibri" w:asciiTheme="minorHAnsi" w:hAnsiTheme="minorHAnsi"/>
          <w:sz w:val="22"/>
          <w:szCs w:val="22"/>
        </w:rPr>
        <w:framePr w:w="7817" w:h="1186"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sz w:val="22"/>
          <w:szCs w:val="22"/>
        </w:rPr>
        <w:t>The whole dataset of clamped dentate gyrus granule cells as well as analysis and simulation software has been uploaded on Zenodo, see section “7.4 Data and software availability”. These repositories also include capacitance clamp modules for the two dynamic clamp software RELACS and RTXI.</w:t>
      </w:r>
    </w:p>
    <w:p>
      <w:pPr>
        <w:pStyle w:val="Normal"/>
        <w:rPr/>
      </w:pPr>
      <w:r>
        <w:rPr/>
      </w:r>
    </w:p>
    <w:p>
      <w:pPr>
        <w:pStyle w:val="Normal"/>
        <w:rPr/>
      </w:pPr>
      <w:r>
        <w:rPr/>
      </w:r>
    </w:p>
    <w:p>
      <w:pPr>
        <w:pStyle w:val="Normal"/>
        <w:rPr/>
      </w:pPr>
      <w:r>
        <w:rPr/>
      </w:r>
    </w:p>
    <w:sectPr>
      <w:headerReference w:type="default" r:id="rId6"/>
      <w:headerReference w:type="first" r:id="rId7"/>
      <w:footerReference w:type="default" r:id="rId8"/>
      <w:footerReference w:type="first" r:id="rId9"/>
      <w:type w:val="nextPage"/>
      <w:pgSz w:w="11906" w:h="16838"/>
      <w:pgMar w:left="1440" w:right="1440" w:header="567" w:top="1440" w:footer="567"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rlito">
    <w:altName w:val="Calibri"/>
    <w:charset w:val="01"/>
    <w:family w:val="swiss"/>
    <w:pitch w:val="default"/>
  </w:font>
  <w:font w:name="Georgia">
    <w:charset w:val="01"/>
    <w:family w:val="swiss"/>
    <w:pitch w:val="default"/>
  </w:font>
  <w:font w:name="Cambria">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4">
          <wp:simplePos x="0" y="0"/>
          <wp:positionH relativeFrom="column">
            <wp:posOffset>-908685</wp:posOffset>
          </wp:positionH>
          <wp:positionV relativeFrom="paragraph">
            <wp:posOffset>19050</wp:posOffset>
          </wp:positionV>
          <wp:extent cx="7560310" cy="7245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5">
          <wp:simplePos x="0" y="0"/>
          <wp:positionH relativeFrom="column">
            <wp:posOffset>-914400</wp:posOffset>
          </wp:positionH>
          <wp:positionV relativeFrom="paragraph">
            <wp:posOffset>-431800</wp:posOffset>
          </wp:positionV>
          <wp:extent cx="7559675" cy="723900"/>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r>
  </w:p>
  <w:p>
    <w:pPr>
      <w:pStyle w:val="Normal"/>
      <w:pBdr/>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3">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55161" t="0" r="0" b="0"/>
                  <a:stretch>
                    <a:fillRect/>
                  </a:stretch>
                </pic:blipFill>
                <pic:spPr bwMode="auto">
                  <a:xfrm>
                    <a:off x="0" y="0"/>
                    <a:ext cx="3390900" cy="1038225"/>
                  </a:xfrm>
                  <a:prstGeom prst="rect">
                    <a:avLst/>
                  </a:prstGeom>
                </pic:spPr>
              </pic:pic>
            </a:graphicData>
          </a:graphic>
        </wp:anchor>
      </w:drawing>
    </w:r>
  </w:p>
  <w:p>
    <w:pPr>
      <w:pStyle w:val="Normal"/>
      <w:tabs>
        <w:tab w:val="clear" w:pos="720"/>
        <w:tab w:val="center" w:pos="4513" w:leader="none"/>
        <w:tab w:val="right" w:pos="9026" w:leader="none"/>
      </w:tabs>
      <w:rPr>
        <w:color w:val="000000"/>
      </w:rPr>
    </w:pPr>
    <w:r>
      <w:rPr/>
      <w:drawing>
        <wp:inline distT="0" distB="0" distL="0" distR="0">
          <wp:extent cx="1295400" cy="44767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1029"/>
    <w:rPr/>
  </w:style>
  <w:style w:type="character" w:styleId="FooterChar" w:customStyle="1">
    <w:name w:val="Footer Char"/>
    <w:basedOn w:val="DefaultParagraphFont"/>
    <w:link w:val="Footer"/>
    <w:uiPriority w:val="99"/>
    <w:qFormat/>
    <w:rsid w:val="00ca1029"/>
    <w:rPr/>
  </w:style>
  <w:style w:type="character" w:styleId="InternetLink">
    <w:name w:val="Hyperlink"/>
    <w:basedOn w:val="DefaultParagraphFont"/>
    <w:uiPriority w:val="99"/>
    <w:unhideWhenUsed/>
    <w:rsid w:val="00fd4937"/>
    <w:rPr>
      <w:color w:val="0563C1" w:themeColor="hyperlink"/>
      <w:u w:val="single"/>
    </w:rPr>
  </w:style>
  <w:style w:type="paragraph" w:styleId="Heading">
    <w:name w:val="Heading"/>
    <w:basedOn w:val="Normal"/>
    <w:next w:val="TextBody"/>
    <w:qFormat/>
    <w:pPr>
      <w:keepNext w:val="true"/>
      <w:spacing w:before="240" w:after="120"/>
    </w:pPr>
    <w:rPr>
      <w:rFonts w:ascii="Carlito" w:hAnsi="Carlito" w:eastAsia="Bitstream Vera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rlito" w:hAnsi="Carlito" w:cs="FreeSans"/>
    </w:rPr>
  </w:style>
  <w:style w:type="paragraph" w:styleId="Caption">
    <w:name w:val="Caption"/>
    <w:basedOn w:val="Normal"/>
    <w:qFormat/>
    <w:pPr>
      <w:suppressLineNumbers/>
      <w:spacing w:before="120" w:after="120"/>
    </w:pPr>
    <w:rPr>
      <w:rFonts w:ascii="Carlito" w:hAnsi="Carlito" w:cs="FreeSans"/>
      <w:i/>
      <w:iCs/>
      <w:sz w:val="24"/>
      <w:szCs w:val="24"/>
    </w:rPr>
  </w:style>
  <w:style w:type="paragraph" w:styleId="Index">
    <w:name w:val="Index"/>
    <w:basedOn w:val="Normal"/>
    <w:qFormat/>
    <w:pPr>
      <w:suppressLineNumbers/>
    </w:pPr>
    <w:rPr>
      <w:rFonts w:ascii="Carlito" w:hAnsi="Carlito" w:cs="FreeSans"/>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HeaderChar"/>
    <w:uiPriority w:val="99"/>
    <w:unhideWhenUsed/>
    <w:rsid w:val="00ca1029"/>
    <w:pPr>
      <w:tabs>
        <w:tab w:val="clear" w:pos="720"/>
        <w:tab w:val="center" w:pos="4513" w:leader="none"/>
        <w:tab w:val="right" w:pos="9026" w:leader="none"/>
      </w:tabs>
    </w:pPr>
    <w:rPr/>
  </w:style>
  <w:style w:type="paragraph" w:styleId="Footer">
    <w:name w:val="Footer"/>
    <w:basedOn w:val="Normal"/>
    <w:link w:val="FooterChar"/>
    <w:uiPriority w:val="99"/>
    <w:unhideWhenUsed/>
    <w:rsid w:val="00ca1029"/>
    <w:pPr>
      <w:tabs>
        <w:tab w:val="clear" w:pos="720"/>
        <w:tab w:val="center" w:pos="4513" w:leader="none"/>
        <w:tab w:val="right" w:pos="9026"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d4937"/>
    <w:pPr>
      <w:spacing w:before="0" w:after="0"/>
      <w:ind w:left="720" w:hanging="0"/>
      <w:contextualSpacing/>
    </w:pPr>
    <w:rPr>
      <w:rFonts w:ascii="Cambria" w:hAnsi="Cambria" w:eastAsia="MS Minngs" w:cs="Times New Roman"/>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LibreOffice/7.0.4.2$Linux_X86_64 LibreOffice_project/00$Build-2</Application>
  <AppVersion>15.0000</AppVersion>
  <Pages>2</Pages>
  <Words>827</Words>
  <Characters>4656</Characters>
  <CharactersWithSpaces>5427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dc:description/>
  <dc:language>en-US</dc:language>
  <cp:lastModifiedBy>Paul Pfeiffer</cp:lastModifiedBy>
  <dcterms:modified xsi:type="dcterms:W3CDTF">2021-12-06T21:48:11Z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