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976C828" w:rsidR="00877644" w:rsidRPr="001A1B22" w:rsidRDefault="00A25EC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1A1B22">
        <w:rPr>
          <w:rFonts w:ascii="Arial" w:hAnsi="Arial" w:cs="Arial"/>
          <w:shd w:val="clear" w:color="auto" w:fill="FFFFFF"/>
        </w:rPr>
        <w:t>Samples sizes for </w:t>
      </w:r>
      <w:r w:rsidRPr="001A1B22">
        <w:rPr>
          <w:rFonts w:ascii="Arial" w:hAnsi="Arial" w:cs="Arial"/>
          <w:i/>
          <w:iCs/>
          <w:shd w:val="clear" w:color="auto" w:fill="FFFFFF"/>
        </w:rPr>
        <w:t>Syngap1</w:t>
      </w:r>
      <w:r w:rsidRPr="001A1B22">
        <w:rPr>
          <w:rFonts w:ascii="Arial" w:hAnsi="Arial" w:cs="Arial"/>
          <w:shd w:val="clear" w:color="auto" w:fill="FFFFFF"/>
        </w:rPr>
        <w:t xml:space="preserve">-related studies in our lab have been estimated using </w:t>
      </w:r>
      <w:proofErr w:type="spellStart"/>
      <w:r w:rsidRPr="001A1B22">
        <w:rPr>
          <w:rFonts w:ascii="Arial" w:hAnsi="Arial" w:cs="Arial"/>
          <w:shd w:val="clear" w:color="auto" w:fill="FFFFFF"/>
        </w:rPr>
        <w:t>GPower</w:t>
      </w:r>
      <w:proofErr w:type="spellEnd"/>
      <w:r w:rsidRPr="001A1B22">
        <w:rPr>
          <w:rFonts w:ascii="Arial" w:hAnsi="Arial" w:cs="Arial"/>
          <w:shd w:val="clear" w:color="auto" w:fill="FFFFFF"/>
        </w:rPr>
        <w:t xml:space="preserve"> 3.0. Estimates for effect size and variance of behavioral data were based on published studies using the </w:t>
      </w:r>
      <w:r w:rsidRPr="001A1B22">
        <w:rPr>
          <w:rFonts w:ascii="Arial" w:hAnsi="Arial" w:cs="Arial"/>
          <w:i/>
          <w:iCs/>
          <w:shd w:val="clear" w:color="auto" w:fill="FFFFFF"/>
        </w:rPr>
        <w:t>Syngap1</w:t>
      </w:r>
      <w:r w:rsidRPr="001A1B22">
        <w:rPr>
          <w:rFonts w:ascii="Arial" w:hAnsi="Arial" w:cs="Arial"/>
          <w:shd w:val="clear" w:color="auto" w:fill="FFFFFF"/>
        </w:rPr>
        <w:t> mouse lines (</w:t>
      </w:r>
      <w:hyperlink r:id="rId12" w:anchor="bib6" w:history="1">
        <w:r w:rsidRPr="001A1B22">
          <w:rPr>
            <w:rStyle w:val="Hyperlink"/>
            <w:rFonts w:ascii="Arial" w:hAnsi="Arial" w:cs="Arial"/>
            <w:color w:val="auto"/>
            <w:shd w:val="clear" w:color="auto" w:fill="FFFFFF"/>
          </w:rPr>
          <w:t>Clement et al., 2012</w:t>
        </w:r>
      </w:hyperlink>
      <w:r w:rsidRPr="001A1B22">
        <w:rPr>
          <w:rFonts w:ascii="Arial" w:hAnsi="Arial" w:cs="Arial"/>
          <w:shd w:val="clear" w:color="auto" w:fill="FFFFFF"/>
        </w:rPr>
        <w:t>; </w:t>
      </w:r>
      <w:hyperlink r:id="rId13" w:anchor="bib1" w:history="1">
        <w:r w:rsidRPr="001A1B22">
          <w:rPr>
            <w:rStyle w:val="Hyperlink"/>
            <w:rFonts w:ascii="Arial" w:hAnsi="Arial" w:cs="Arial"/>
            <w:color w:val="auto"/>
            <w:shd w:val="clear" w:color="auto" w:fill="FFFFFF"/>
          </w:rPr>
          <w:t>Aceti et al., 2015</w:t>
        </w:r>
      </w:hyperlink>
      <w:r w:rsidRPr="001A1B22">
        <w:rPr>
          <w:rFonts w:ascii="Arial" w:hAnsi="Arial" w:cs="Arial"/>
          <w:shd w:val="clear" w:color="auto" w:fill="FFFFFF"/>
        </w:rPr>
        <w:t>; </w:t>
      </w:r>
      <w:hyperlink r:id="rId14" w:anchor="bib39" w:history="1">
        <w:r w:rsidRPr="001A1B22">
          <w:rPr>
            <w:rStyle w:val="Hyperlink"/>
            <w:rFonts w:ascii="Arial" w:hAnsi="Arial" w:cs="Arial"/>
            <w:color w:val="auto"/>
            <w:shd w:val="clear" w:color="auto" w:fill="FFFFFF"/>
          </w:rPr>
          <w:t>Ozkan et al., 2014</w:t>
        </w:r>
      </w:hyperlink>
      <w:r w:rsidRPr="001A1B22">
        <w:rPr>
          <w:rFonts w:ascii="Arial" w:hAnsi="Arial" w:cs="Arial"/>
          <w:shd w:val="clear" w:color="auto" w:fill="FFFFFF"/>
        </w:rPr>
        <w:t>; </w:t>
      </w:r>
      <w:hyperlink r:id="rId15" w:anchor="bib18" w:history="1">
        <w:r w:rsidRPr="001A1B22">
          <w:rPr>
            <w:rStyle w:val="Hyperlink"/>
            <w:rFonts w:ascii="Arial" w:hAnsi="Arial" w:cs="Arial"/>
            <w:color w:val="auto"/>
            <w:shd w:val="clear" w:color="auto" w:fill="FFFFFF"/>
          </w:rPr>
          <w:t>Guo et al., 2009</w:t>
        </w:r>
      </w:hyperlink>
      <w:r w:rsidRPr="001A1B22">
        <w:rPr>
          <w:rFonts w:ascii="Arial" w:hAnsi="Arial" w:cs="Arial"/>
          <w:shd w:val="clear" w:color="auto" w:fill="FFFFFF"/>
        </w:rPr>
        <w:t>).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A683C66" w14:textId="414C5FAE" w:rsidR="00070A36" w:rsidRDefault="00070A36" w:rsidP="00070A3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This information is outlined within individual figure legends. 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57EDC06" w14:textId="55548122" w:rsidR="00230329" w:rsidRDefault="00070A36" w:rsidP="0023032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Detailed s</w:t>
      </w:r>
      <w:r w:rsidR="00230329">
        <w:rPr>
          <w:rFonts w:ascii="Arial" w:hAnsi="Arial" w:cs="Arial"/>
        </w:rPr>
        <w:t xml:space="preserve">tatistics for each of the results were reported in </w:t>
      </w:r>
      <w:r>
        <w:rPr>
          <w:rFonts w:ascii="Arial" w:hAnsi="Arial" w:cs="Arial"/>
        </w:rPr>
        <w:t>figure legends.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0D79337" w14:textId="58F3D858" w:rsidR="00070A36" w:rsidRPr="00CA0ACE" w:rsidRDefault="00070A36" w:rsidP="00070A3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This information is stated in the “Behavior” subsection of the Methods.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BDC2ABC" w:rsidR="00BC3CCE" w:rsidRPr="001A1B22" w:rsidRDefault="001A1B2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1A1B22">
        <w:rPr>
          <w:rFonts w:ascii="Arial" w:hAnsi="Arial" w:cs="Arial"/>
        </w:rPr>
        <w:t xml:space="preserve">We have uploaded a source data table for the </w:t>
      </w:r>
      <w:proofErr w:type="spellStart"/>
      <w:r w:rsidRPr="001A1B22">
        <w:rPr>
          <w:rFonts w:ascii="Arial" w:hAnsi="Arial" w:cs="Arial"/>
        </w:rPr>
        <w:t>RNAseq</w:t>
      </w:r>
      <w:proofErr w:type="spellEnd"/>
      <w:r w:rsidRPr="001A1B22">
        <w:rPr>
          <w:rFonts w:ascii="Arial" w:hAnsi="Arial" w:cs="Arial"/>
        </w:rPr>
        <w:t xml:space="preserve"> analysis of  </w:t>
      </w:r>
      <w:r w:rsidRPr="001A1B22">
        <w:rPr>
          <w:rFonts w:ascii="Arial" w:hAnsi="Arial" w:cs="Arial"/>
          <w:color w:val="000000" w:themeColor="text1"/>
        </w:rPr>
        <w:t>IRES-TD line.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6"/>
      <w:footerReference w:type="even" r:id="rId17"/>
      <w:footerReference w:type="default" r:id="rId18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FF59E" w14:textId="77777777" w:rsidR="00E755F2" w:rsidRDefault="00E755F2" w:rsidP="004215FE">
      <w:r>
        <w:separator/>
      </w:r>
    </w:p>
  </w:endnote>
  <w:endnote w:type="continuationSeparator" w:id="0">
    <w:p w14:paraId="60D1B8FD" w14:textId="77777777" w:rsidR="00E755F2" w:rsidRDefault="00E755F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altName w:val="Segoe UI"/>
    <w:panose1 w:val="020B06040202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FA483" w14:textId="77777777" w:rsidR="00E755F2" w:rsidRDefault="00E755F2" w:rsidP="004215FE">
      <w:r>
        <w:separator/>
      </w:r>
    </w:p>
  </w:footnote>
  <w:footnote w:type="continuationSeparator" w:id="0">
    <w:p w14:paraId="24EC4567" w14:textId="77777777" w:rsidR="00E755F2" w:rsidRDefault="00E755F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70A36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7233"/>
    <w:rsid w:val="00125190"/>
    <w:rsid w:val="00133662"/>
    <w:rsid w:val="00133907"/>
    <w:rsid w:val="00146DE9"/>
    <w:rsid w:val="0015519A"/>
    <w:rsid w:val="001618D5"/>
    <w:rsid w:val="00175192"/>
    <w:rsid w:val="001A1B22"/>
    <w:rsid w:val="001E1D59"/>
    <w:rsid w:val="00212F30"/>
    <w:rsid w:val="00217B9E"/>
    <w:rsid w:val="00230329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0740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25EC7"/>
    <w:rsid w:val="00A32E20"/>
    <w:rsid w:val="00A5368C"/>
    <w:rsid w:val="00A62B52"/>
    <w:rsid w:val="00A63F46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3218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755F2"/>
    <w:rsid w:val="00E870D1"/>
    <w:rsid w:val="00E92323"/>
    <w:rsid w:val="00ED346E"/>
    <w:rsid w:val="00EF7423"/>
    <w:rsid w:val="00F27DEC"/>
    <w:rsid w:val="00F3344F"/>
    <w:rsid w:val="00F465E5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152D2099-9899-DC47-9144-65C90D6C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elifesciences.org/articles/46752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ifesciences.org/articles/46752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fesciences.org/articles/46752" TargetMode="External"/><Relationship Id="rId10" Type="http://schemas.openxmlformats.org/officeDocument/2006/relationships/hyperlink" Target="http://www.plosbiology.org/article/info:doi/10.1371/journal.pbio.100041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hyperlink" Target="https://elifesciences.org/articles/4675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BABEB5-F4D9-4E07-ABCD-A208F8AD42A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Gavin Rumbaugh</cp:lastModifiedBy>
  <cp:revision>2</cp:revision>
  <dcterms:created xsi:type="dcterms:W3CDTF">2021-11-25T11:43:00Z</dcterms:created>
  <dcterms:modified xsi:type="dcterms:W3CDTF">2021-11-25T11:43:00Z</dcterms:modified>
</cp:coreProperties>
</file>