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2.xml.rels" ContentType="application/vnd.openxmlformats-package.relationships+xml"/>
  <Override PartName="/word/_rels/footer1.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media/image1.jpeg" ContentType="image/jpeg"/>
  <Override PartName="/word/media/image2.jpeg" ContentType="image/jpeg"/>
  <Override PartName="/word/media/image3.jpeg" ContentType="image/jpe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i/>
          <w:i/>
          <w:sz w:val="28"/>
          <w:szCs w:val="28"/>
        </w:rPr>
      </w:pPr>
      <w:r>
        <w:rPr>
          <w:rFonts w:asciiTheme="minorHAnsi" w:hAnsiTheme="minorHAnsi"/>
          <w:b/>
          <w:bCs/>
          <w:i/>
          <w:sz w:val="28"/>
          <w:szCs w:val="28"/>
        </w:rPr>
      </w:r>
      <w:bookmarkStart w:id="0" w:name="_heading=h.gjdgxs"/>
      <w:bookmarkStart w:id="1" w:name="_heading=h.gjdgxs"/>
      <w:bookmarkEnd w:id="1"/>
    </w:p>
    <w:p>
      <w:pPr>
        <w:pStyle w:val="Normal"/>
        <w:rPr>
          <w:rFonts w:ascii="Calibri" w:hAnsi="Calibri" w:asciiTheme="minorHAnsi" w:hAnsiTheme="minorHAnsi"/>
          <w:b/>
          <w:b/>
          <w:bCs/>
          <w:sz w:val="28"/>
          <w:szCs w:val="28"/>
        </w:rPr>
      </w:pPr>
      <w:r>
        <w:rPr>
          <w:rFonts w:asciiTheme="minorHAnsi" w:hAnsiTheme="minorHAnsi"/>
          <w:b/>
          <w:bCs/>
          <w:i/>
          <w:sz w:val="28"/>
          <w:szCs w:val="28"/>
        </w:rPr>
        <w:t>eLife’s</w:t>
      </w:r>
      <w:r>
        <w:rPr>
          <w:rFonts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bCs/>
          <w:sz w:val="22"/>
          <w:szCs w:val="22"/>
        </w:rPr>
      </w:r>
    </w:p>
    <w:p>
      <w:pPr>
        <w:pStyle w:val="Normal"/>
        <w:rPr>
          <w:rFonts w:ascii="Calibri" w:hAnsi="Calibri" w:asciiTheme="minorHAnsi" w:hAnsiTheme="minorHAnsi"/>
          <w:bCs/>
          <w:sz w:val="22"/>
          <w:szCs w:val="22"/>
        </w:rPr>
      </w:pPr>
      <w:r>
        <w:rPr>
          <w:rFonts w:asciiTheme="minorHAnsi" w:hAnsiTheme="minorHAnsi"/>
          <w:bCs/>
          <w:sz w:val="22"/>
          <w:szCs w:val="22"/>
        </w:rPr>
        <w:t xml:space="preserve">We encourage authors to provide detailed information </w:t>
      </w:r>
      <w:r>
        <w:rPr>
          <w:rFonts w:asciiTheme="minorHAnsi" w:hAnsiTheme="minorHAnsi"/>
          <w:bCs/>
          <w:i/>
          <w:sz w:val="22"/>
          <w:szCs w:val="22"/>
        </w:rPr>
        <w:t>within their submission</w:t>
      </w:r>
      <w:r>
        <w:rPr>
          <w:rFonts w:asciiTheme="minorHAnsi" w:hAnsiTheme="minorHAnsi"/>
          <w:bCs/>
          <w:sz w:val="22"/>
          <w:szCs w:val="22"/>
        </w:rPr>
        <w:t xml:space="preserve"> to facilitate the interpretation and replication of experiments. Authors can upload supporting documentation to indicate the use of appropriate reporting guidelines for health-related research (see </w:t>
      </w:r>
      <w:hyperlink r:id="rId2">
        <w:r>
          <w:rPr>
            <w:rStyle w:val="InternetLink"/>
            <w:rFonts w:asciiTheme="minorHAnsi" w:hAnsiTheme="minorHAnsi"/>
            <w:bCs/>
            <w:sz w:val="22"/>
            <w:szCs w:val="22"/>
          </w:rPr>
          <w:t>EQUATOR Network</w:t>
        </w:r>
      </w:hyperlink>
      <w:r>
        <w:rPr>
          <w:rFonts w:asciiTheme="minorHAnsi" w:hAnsiTheme="minorHAnsi"/>
          <w:bCs/>
          <w:sz w:val="22"/>
          <w:szCs w:val="22"/>
        </w:rPr>
        <w:t>), life science research (see the </w:t>
      </w:r>
      <w:hyperlink r:id="rId3" w:tgtFrame="_blank">
        <w:r>
          <w:rPr>
            <w:rStyle w:val="InternetLink"/>
            <w:rFonts w:asciiTheme="minorHAnsi" w:hAnsiTheme="minorHAnsi"/>
            <w:bCs/>
            <w:sz w:val="22"/>
            <w:szCs w:val="22"/>
          </w:rPr>
          <w:t>BioSharing Information Resource</w:t>
        </w:r>
      </w:hyperlink>
      <w:r>
        <w:rPr>
          <w:rFonts w:asciiTheme="minorHAnsi" w:hAnsiTheme="minorHAnsi"/>
          <w:bCs/>
          <w:sz w:val="22"/>
          <w:szCs w:val="22"/>
        </w:rPr>
        <w:t>), or the </w:t>
      </w:r>
      <w:hyperlink r:id="rId4" w:tgtFrame="_blank">
        <w:r>
          <w:rPr>
            <w:rStyle w:val="InternetLink"/>
            <w:rFonts w:asciiTheme="minorHAnsi" w:hAnsiTheme="minorHAnsi"/>
            <w:bCs/>
            <w:sz w:val="22"/>
            <w:szCs w:val="22"/>
          </w:rPr>
          <w:t>ARRIVE guidelines</w:t>
        </w:r>
      </w:hyperlink>
      <w:r>
        <w:rPr>
          <w:rFonts w:asciiTheme="minorHAnsi" w:hAnsiTheme="minorHAnsi"/>
          <w:bCs/>
          <w:sz w:val="22"/>
          <w:szCs w:val="22"/>
        </w:rPr>
        <w:t> for reporting work involving animal research.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bCs/>
        </w:rPr>
      </w:r>
    </w:p>
    <w:p>
      <w:pPr>
        <w:pStyle w:val="Normal"/>
        <w:rPr>
          <w:rFonts w:ascii="Calibri" w:hAnsi="Calibri" w:asciiTheme="minorHAnsi" w:hAnsiTheme="minorHAnsi"/>
          <w:b/>
          <w:b/>
          <w:bCs/>
          <w:color w:val="3366FF"/>
          <w:sz w:val="22"/>
          <w:szCs w:val="22"/>
        </w:rPr>
      </w:pPr>
      <w:r>
        <w:rPr>
          <w:rFonts w:asciiTheme="minorHAnsi" w:hAnsiTheme="minorHAnsi"/>
          <w:bCs/>
          <w:sz w:val="22"/>
          <w:szCs w:val="22"/>
        </w:rPr>
        <w:t>If you have any questions, please consult our Journal Policies and/or contact us:</w:t>
      </w:r>
      <w:r>
        <w:rPr>
          <w:rFonts w:asciiTheme="minorHAnsi" w:hAnsiTheme="minorHAnsi"/>
          <w:bCs/>
          <w:color w:val="FF0000"/>
          <w:sz w:val="22"/>
          <w:szCs w:val="22"/>
        </w:rPr>
        <w:t xml:space="preserve"> </w:t>
      </w:r>
      <w:hyperlink r:id="rId5">
        <w:r>
          <w:rPr>
            <w:rStyle w:val="InternetLink"/>
            <w:rFonts w:asciiTheme="minorHAnsi" w:hAnsiTheme="minorHAnsi"/>
            <w:bCs/>
            <w:sz w:val="22"/>
            <w:szCs w:val="22"/>
          </w:rPr>
          <w:t>editorial@elifesciences.org</w:t>
        </w:r>
      </w:hyperlink>
      <w:r>
        <w:rPr>
          <w:rFonts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b/>
          <w:bCs/>
          <w:color w:val="3366FF"/>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rFonts w:ascii="Calibri" w:hAnsi="Calibri" w:asciiTheme="minorHAnsi" w:hAnsiTheme="minorHAnsi"/>
          <w:sz w:val="22"/>
          <w:szCs w:val="22"/>
        </w:rPr>
      </w:pPr>
      <w:r>
        <w:rPr>
          <w:rFonts w:asciiTheme="minorHAnsi" w:hAnsiTheme="minorHAnsi"/>
          <w:b/>
          <w:bCs/>
          <w:sz w:val="22"/>
          <w:szCs w:val="22"/>
        </w:rPr>
        <w:t>Replicates</w:t>
      </w:r>
    </w:p>
    <w:p>
      <w:pPr>
        <w:pStyle w:val="Normal"/>
        <w:pBdr/>
        <w:rPr>
          <w:sz w:val="22"/>
          <w:szCs w:val="22"/>
        </w:rPr>
        <w:framePr w:w="7817" w:h="3950" w:x="418" w:y="150" w:wrap="auto" w:vAnchor="text" w:hAnchor="text" w:hRule="exact"/>
      </w:pPr>
      <w:r>
        <w:rPr>
          <w:rFonts w:asciiTheme="minorHAnsi" w:hAnsiTheme="minorHAnsi"/>
          <w:sz w:val="22"/>
          <w:szCs w:val="22"/>
        </w:rPr>
        <w:t>Required sample sizes for the number of mice needed to generate single cell RNA-Seq (scRNA-Seq) and flow cytometry data for splenic and adipose iNKT cells were determined empirically, using data previously published in:</w:t>
      </w:r>
    </w:p>
    <w:p>
      <w:pPr>
        <w:pStyle w:val="Normal"/>
        <w:pBdr/>
        <w:rPr>
          <w:sz w:val="22"/>
          <w:szCs w:val="22"/>
        </w:rPr>
        <w:framePr w:w="7817" w:h="3950" w:x="418" w:y="150" w:wrap="auto" w:vAnchor="text" w:hAnchor="text" w:hRule="exact"/>
      </w:pPr>
      <w:r>
        <w:rPr>
          <w:sz w:val="22"/>
          <w:szCs w:val="22"/>
        </w:rPr>
      </w:r>
    </w:p>
    <w:p>
      <w:pPr>
        <w:pStyle w:val="Normal"/>
        <w:pBdr/>
        <w:rPr>
          <w:sz w:val="22"/>
          <w:szCs w:val="22"/>
        </w:rPr>
        <w:framePr w:w="7817" w:h="3950" w:x="418" w:y="150" w:wrap="auto" w:vAnchor="text" w:hAnchor="text" w:hRule="exact"/>
      </w:pPr>
      <w:r>
        <w:rPr>
          <w:rFonts w:asciiTheme="minorHAnsi" w:hAnsiTheme="minorHAnsi"/>
          <w:sz w:val="22"/>
          <w:szCs w:val="22"/>
        </w:rPr>
        <w:t xml:space="preserve">LaMarche, N.M., Kane, H., Kohlgruber, A.C., Dong, H., Lynch, L. and Brenner, M.B., 2020. Distinct iNKT cell populations use IFNγ or ER stress-induced IL-10 to control adipose tissue homeostasis. </w:t>
      </w:r>
      <w:r>
        <w:rPr>
          <w:rFonts w:asciiTheme="minorHAnsi" w:hAnsiTheme="minorHAnsi"/>
          <w:i/>
          <w:sz w:val="22"/>
          <w:szCs w:val="22"/>
        </w:rPr>
        <w:t>Cell Metabolism</w:t>
      </w:r>
      <w:r>
        <w:rPr>
          <w:rFonts w:asciiTheme="minorHAnsi" w:hAnsiTheme="minorHAnsi"/>
          <w:sz w:val="22"/>
          <w:szCs w:val="22"/>
        </w:rPr>
        <w:t xml:space="preserve">, </w:t>
      </w:r>
      <w:r>
        <w:rPr>
          <w:rFonts w:asciiTheme="minorHAnsi" w:hAnsiTheme="minorHAnsi"/>
          <w:i/>
          <w:sz w:val="22"/>
          <w:szCs w:val="22"/>
        </w:rPr>
        <w:t>32</w:t>
      </w:r>
      <w:r>
        <w:rPr>
          <w:rFonts w:asciiTheme="minorHAnsi" w:hAnsiTheme="minorHAnsi"/>
          <w:sz w:val="22"/>
          <w:szCs w:val="22"/>
        </w:rPr>
        <w:t>(2), pp.243-258.</w:t>
      </w:r>
    </w:p>
    <w:p>
      <w:pPr>
        <w:pStyle w:val="Normal"/>
        <w:pBdr/>
        <w:rPr>
          <w:sz w:val="22"/>
          <w:szCs w:val="22"/>
        </w:rPr>
        <w:framePr w:w="7817" w:h="3950" w:x="418" w:y="150" w:wrap="auto" w:vAnchor="text" w:hAnchor="text" w:hRule="exact"/>
      </w:pPr>
      <w:r>
        <w:rPr>
          <w:sz w:val="22"/>
          <w:szCs w:val="22"/>
        </w:rPr>
      </w:r>
    </w:p>
    <w:p>
      <w:pPr>
        <w:pStyle w:val="Normal"/>
        <w:pBdr/>
        <w:rPr>
          <w:sz w:val="22"/>
          <w:szCs w:val="22"/>
        </w:rPr>
        <w:framePr w:w="7817" w:h="3950" w:x="418" w:y="150" w:wrap="auto" w:vAnchor="text" w:hAnchor="text" w:hRule="exact"/>
      </w:pPr>
      <w:r>
        <w:rPr>
          <w:rFonts w:asciiTheme="minorHAnsi" w:hAnsiTheme="minorHAnsi"/>
          <w:sz w:val="22"/>
          <w:szCs w:val="22"/>
        </w:rPr>
        <w:t xml:space="preserve">Lynch, L., Michelet, X., Zhang, S., Brennan, P.J., Moseman, A., Lester, C., Besra, G., Vomhof-Dekrey, E.E., Tighe, M., Koay, H.F. and Godfrey, D.I., 2015. Regulatory i NKT cells lack expression of the transcription factor PLZF and control the homeostasis of T reg cells and macrophages in adipose tissue. </w:t>
      </w:r>
      <w:r>
        <w:rPr>
          <w:rFonts w:asciiTheme="minorHAnsi" w:hAnsiTheme="minorHAnsi"/>
          <w:i/>
          <w:sz w:val="22"/>
          <w:szCs w:val="22"/>
        </w:rPr>
        <w:t>Nature immunology</w:t>
      </w:r>
      <w:r>
        <w:rPr>
          <w:rFonts w:asciiTheme="minorHAnsi" w:hAnsiTheme="minorHAnsi"/>
          <w:sz w:val="22"/>
          <w:szCs w:val="22"/>
        </w:rPr>
        <w:t xml:space="preserve">, </w:t>
      </w:r>
      <w:r>
        <w:rPr>
          <w:rFonts w:asciiTheme="minorHAnsi" w:hAnsiTheme="minorHAnsi"/>
          <w:i/>
          <w:sz w:val="22"/>
          <w:szCs w:val="22"/>
        </w:rPr>
        <w:t>16</w:t>
      </w:r>
      <w:r>
        <w:rPr>
          <w:rFonts w:asciiTheme="minorHAnsi" w:hAnsiTheme="minorHAnsi"/>
          <w:sz w:val="22"/>
          <w:szCs w:val="22"/>
        </w:rPr>
        <w:t>(1), pp.85-95.</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rPr>
      </w:pPr>
      <w:r>
        <w:rPr>
          <w:rFonts w:asciiTheme="minorHAnsi" w:hAnsiTheme="minorHAnsi"/>
          <w:sz w:val="22"/>
          <w:szCs w:val="22"/>
        </w:rPr>
      </w:r>
    </w:p>
    <w:p>
      <w:pPr>
        <w:pStyle w:val="Normal"/>
        <w:rPr/>
      </w:pPr>
      <w:r>
        <w:rPr/>
      </w:r>
    </w:p>
    <w:p>
      <w:pPr>
        <w:pStyle w:val="Normal"/>
        <w:rPr>
          <w:rFonts w:ascii="Calibri" w:hAnsi="Calibri" w:asciiTheme="minorHAnsi" w:hAnsiTheme="minorHAnsi"/>
          <w:sz w:val="22"/>
          <w:szCs w:val="22"/>
        </w:rPr>
      </w:pPr>
      <w:r>
        <w:rPr>
          <w:rFonts w:asciiTheme="minorHAnsi" w:hAnsiTheme="minorHAnsi"/>
          <w:b/>
          <w:bCs/>
          <w:sz w:val="22"/>
          <w:szCs w:val="22"/>
        </w:rPr>
        <w:t>Statistical reporting</w:t>
      </w:r>
    </w:p>
    <w:p>
      <w:pPr>
        <w:pStyle w:val="Normal"/>
        <w:pBdr/>
        <w:spacing w:lineRule="auto" w:line="240"/>
        <w:rPr/>
        <w:framePr w:w="7817" w:h="4346" w:x="520" w:y="47" w:wrap="auto" w:vAnchor="text" w:hAnchor="text" w:hRule="exact"/>
      </w:pPr>
      <w:r>
        <w:rPr>
          <w:rFonts w:asciiTheme="minorHAnsi" w:hAnsiTheme="minorHAnsi"/>
          <w:sz w:val="22"/>
          <w:szCs w:val="22"/>
        </w:rPr>
        <w:t xml:space="preserve">Biological and technical replicate information for flow cytometry experiments is provided in the associated figure legends </w:t>
      </w:r>
      <w:r>
        <w:rPr>
          <w:rFonts w:asciiTheme="minorHAnsi" w:hAnsiTheme="minorHAnsi"/>
          <w:sz w:val="22"/>
          <w:szCs w:val="22"/>
        </w:rPr>
        <w:t>and the Methods section</w:t>
      </w:r>
      <w:r>
        <w:rPr>
          <w:rFonts w:asciiTheme="minorHAnsi" w:hAnsiTheme="minorHAnsi"/>
          <w:sz w:val="22"/>
          <w:szCs w:val="22"/>
        </w:rPr>
        <w:t xml:space="preserve">. </w:t>
      </w:r>
      <w:r>
        <w:rPr>
          <w:rFonts w:eastAsia="Calibri" w:cs="Calibri"/>
          <w:color w:val="auto"/>
          <w:kern w:val="0"/>
          <w:sz w:val="22"/>
          <w:szCs w:val="22"/>
          <w:lang w:val="en-GB" w:eastAsia="en-GB" w:bidi="ar-SA"/>
        </w:rPr>
        <w:t>A single replicate of hepatic iNKT cells at 4 weeks post-</w:t>
      </w:r>
      <w:r>
        <w:rPr>
          <w:rFonts w:eastAsia="Calibri" w:cs="Calibri" w:ascii="utkal" w:hAnsi="utkal"/>
          <w:color w:val="auto"/>
          <w:kern w:val="0"/>
          <w:sz w:val="22"/>
          <w:szCs w:val="22"/>
          <w:lang w:val="en-GB" w:eastAsia="en-GB" w:bidi="ar-SA"/>
        </w:rPr>
        <w:t>α</w:t>
      </w:r>
      <w:r>
        <w:rPr>
          <w:rFonts w:eastAsia="Calibri" w:cs="Calibri"/>
          <w:color w:val="auto"/>
          <w:kern w:val="0"/>
          <w:sz w:val="22"/>
          <w:szCs w:val="22"/>
          <w:lang w:val="en-GB" w:eastAsia="en-GB" w:bidi="ar-SA"/>
        </w:rPr>
        <w:t xml:space="preserve">GalCer was excluded due to poor staining and inability to properly identify iNKT cells. This is described in the appropriate figure legend (Figure 6). </w:t>
      </w:r>
      <w:r>
        <w:rPr>
          <w:rFonts w:asciiTheme="minorHAnsi" w:hAnsiTheme="minorHAnsi"/>
          <w:sz w:val="22"/>
          <w:szCs w:val="22"/>
        </w:rPr>
        <w:t>Gating was performed as described in the figure legends and Methods section.</w:t>
      </w:r>
    </w:p>
    <w:p>
      <w:pPr>
        <w:pStyle w:val="Normal"/>
        <w:pBdr/>
        <w:rPr>
          <w:rFonts w:ascii="Calibri" w:hAnsi="Calibri" w:asciiTheme="minorHAnsi" w:hAnsiTheme="minorHAnsi"/>
          <w:sz w:val="22"/>
          <w:szCs w:val="22"/>
        </w:rPr>
        <w:framePr w:w="7817" w:h="4346" w:x="520" w:y="47" w:wrap="auto" w:vAnchor="text" w:hAnchor="text" w:hRule="exact"/>
      </w:pPr>
      <w:r>
        <w:rPr>
          <w:rFonts w:asciiTheme="minorHAnsi" w:hAnsiTheme="minorHAnsi"/>
          <w:sz w:val="22"/>
          <w:szCs w:val="22"/>
        </w:rPr>
      </w:r>
    </w:p>
    <w:p>
      <w:pPr>
        <w:pStyle w:val="Normal"/>
        <w:pBdr/>
        <w:rPr>
          <w:rFonts w:ascii="Calibri" w:hAnsi="Calibri" w:asciiTheme="minorHAnsi" w:hAnsiTheme="minorHAnsi"/>
          <w:sz w:val="22"/>
          <w:szCs w:val="22"/>
        </w:rPr>
        <w:framePr w:w="7817" w:h="4346" w:x="520" w:y="47" w:wrap="auto" w:vAnchor="text" w:hAnchor="text" w:hRule="exact"/>
      </w:pPr>
      <w:r>
        <w:rPr>
          <w:rFonts w:asciiTheme="minorHAnsi" w:hAnsiTheme="minorHAnsi"/>
          <w:sz w:val="22"/>
          <w:szCs w:val="22"/>
        </w:rPr>
        <w:t xml:space="preserve">Biological replicate information for scRNA-Seq experiments is provided in the Methods section. scRNA-Seq experiments were performed once, using multiple biological replicates in the same experiment. Data was processed as described in the Methods section. scRNA-Seq data batch information is provided in </w:t>
      </w:r>
      <w:r>
        <w:rPr>
          <w:rFonts w:eastAsia="Calibri" w:cs="Calibri"/>
          <w:color w:val="auto"/>
          <w:kern w:val="0"/>
          <w:sz w:val="22"/>
          <w:szCs w:val="22"/>
          <w:lang w:val="en-GB" w:eastAsia="en-GB" w:bidi="ar-SA"/>
        </w:rPr>
        <w:t>Supplementary File 9</w:t>
      </w:r>
      <w:r>
        <w:rPr>
          <w:rFonts w:asciiTheme="minorHAnsi" w:hAnsiTheme="minorHAnsi"/>
          <w:sz w:val="22"/>
          <w:szCs w:val="22"/>
        </w:rPr>
        <w:t>. Raw and processed scRNA-Seq data has been deposited in GSE</w:t>
      </w:r>
      <w:r>
        <w:rPr>
          <w:rFonts w:eastAsia="Calibri" w:cs="Calibri"/>
          <w:color w:val="auto"/>
          <w:kern w:val="0"/>
          <w:sz w:val="22"/>
          <w:szCs w:val="22"/>
          <w:lang w:val="en-GB" w:eastAsia="en-GB" w:bidi="ar-SA"/>
        </w:rPr>
        <w:t xml:space="preserve">190201, the following reviewer token grants access: wlwpkycuxdshbkb. </w:t>
      </w:r>
    </w:p>
    <w:p>
      <w:pPr>
        <w:pStyle w:val="Normal"/>
        <w:pBdr/>
        <w:rPr>
          <w:rFonts w:ascii="Calibri" w:hAnsi="Calibri" w:asciiTheme="minorHAnsi" w:hAnsiTheme="minorHAnsi"/>
          <w:sz w:val="22"/>
          <w:szCs w:val="22"/>
        </w:rPr>
        <w:framePr w:w="7817" w:h="4346" w:x="520" w:y="47" w:wrap="auto" w:vAnchor="text" w:hAnchor="text" w:hRule="exact"/>
      </w:pPr>
      <w:r>
        <w:rPr>
          <w:rFonts w:asciiTheme="minorHAnsi" w:hAnsiTheme="minorHAnsi"/>
          <w:sz w:val="22"/>
          <w:szCs w:val="22"/>
        </w:rPr>
      </w:r>
    </w:p>
    <w:p>
      <w:pPr>
        <w:pStyle w:val="Normal"/>
        <w:pBdr/>
        <w:rPr>
          <w:rFonts w:ascii="Calibri" w:hAnsi="Calibri" w:asciiTheme="minorHAnsi" w:hAnsiTheme="minorHAnsi"/>
          <w:sz w:val="22"/>
          <w:szCs w:val="22"/>
        </w:rPr>
        <w:framePr w:w="7817" w:h="4346" w:x="520" w:y="47" w:wrap="auto" w:vAnchor="text" w:hAnchor="text" w:hRule="exact"/>
      </w:pPr>
      <w:r>
        <w:rPr>
          <w:rFonts w:eastAsia="Calibri" w:cs="Calibri"/>
          <w:color w:val="auto"/>
          <w:kern w:val="0"/>
          <w:sz w:val="22"/>
          <w:szCs w:val="22"/>
          <w:lang w:val="en-GB" w:eastAsia="en-GB" w:bidi="ar-SA"/>
        </w:rPr>
        <w:t>Other High -Throughput data analyzed in the manuscript is publically available on GEO, and reanalysis of this data is described in the Methods section.</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pBdr/>
        <w:rPr>
          <w:rFonts w:ascii="Calibri" w:hAnsi="Calibri" w:eastAsia="Calibri" w:cs="Calibri" w:asciiTheme="minorHAnsi" w:hAnsiTheme="minorHAnsi"/>
          <w:color w:val="auto"/>
          <w:kern w:val="0"/>
          <w:sz w:val="22"/>
          <w:szCs w:val="22"/>
          <w:lang w:val="en-GB" w:eastAsia="en-GB" w:bidi="ar-SA"/>
        </w:rPr>
        <w:framePr w:w="7817" w:h="2465" w:x="464" w:y="221" w:wrap="auto" w:vAnchor="text" w:hAnchor="text" w:hRule="exact"/>
      </w:pPr>
      <w:r>
        <w:rPr>
          <w:rFonts w:eastAsia="Calibri" w:cs="Calibri"/>
          <w:color w:val="auto"/>
          <w:kern w:val="0"/>
          <w:sz w:val="22"/>
          <w:szCs w:val="22"/>
          <w:lang w:val="en-GB" w:eastAsia="en-GB" w:bidi="ar-SA"/>
        </w:rPr>
        <w:t>Statistical methods for flow cytometry data are described in the figure legends and the Methods section.</w:t>
      </w:r>
    </w:p>
    <w:p>
      <w:pPr>
        <w:pStyle w:val="Normal"/>
        <w:pBdr/>
        <w:rPr>
          <w:rFonts w:ascii="Calibri" w:hAnsi="Calibri" w:eastAsia="Calibri" w:cs="Calibri" w:asciiTheme="minorHAnsi" w:hAnsiTheme="minorHAnsi"/>
          <w:color w:val="auto"/>
          <w:kern w:val="0"/>
          <w:sz w:val="22"/>
          <w:szCs w:val="22"/>
          <w:lang w:val="en-GB" w:eastAsia="en-GB" w:bidi="ar-SA"/>
        </w:rPr>
        <w:framePr w:w="7817" w:h="2465" w:x="464" w:y="221" w:wrap="auto" w:vAnchor="text" w:hAnchor="text" w:hRule="exact"/>
      </w:pPr>
      <w:r>
        <w:rPr>
          <w:rFonts w:eastAsia="Calibri" w:cs="Calibri"/>
          <w:color w:val="auto"/>
          <w:kern w:val="0"/>
          <w:sz w:val="22"/>
          <w:szCs w:val="22"/>
          <w:lang w:val="en-GB" w:eastAsia="en-GB" w:bidi="ar-SA"/>
        </w:rPr>
      </w:r>
    </w:p>
    <w:p>
      <w:pPr>
        <w:pStyle w:val="Normal"/>
        <w:pBdr/>
        <w:rPr/>
        <w:framePr w:w="7817" w:h="2465" w:x="464" w:y="221" w:wrap="auto" w:vAnchor="text" w:hAnchor="text" w:hRule="exact"/>
      </w:pPr>
      <w:r>
        <w:rPr>
          <w:rFonts w:eastAsia="Calibri" w:cs="Calibri"/>
          <w:color w:val="auto"/>
          <w:kern w:val="0"/>
          <w:sz w:val="22"/>
          <w:szCs w:val="22"/>
          <w:lang w:val="en-GB" w:eastAsia="en-GB" w:bidi="ar-SA"/>
        </w:rPr>
        <w:t xml:space="preserve">Statistical methods for scRNA-Seq data are described in the Methods section. </w:t>
      </w:r>
    </w:p>
    <w:p>
      <w:pPr>
        <w:pStyle w:val="Normal"/>
        <w:pBdr/>
        <w:rPr>
          <w:rFonts w:eastAsia="Calibri" w:cs="Calibri"/>
          <w:color w:val="auto"/>
          <w:kern w:val="0"/>
          <w:sz w:val="22"/>
          <w:szCs w:val="22"/>
          <w:lang w:val="en-GB" w:eastAsia="en-GB" w:bidi="ar-SA"/>
        </w:rPr>
        <w:framePr w:w="7817" w:h="2465" w:x="464" w:y="221" w:wrap="auto" w:vAnchor="text" w:hAnchor="text" w:hRule="exact"/>
      </w:pPr>
      <w:r>
        <w:rPr>
          <w:rFonts w:eastAsia="Calibri" w:cs="Calibri"/>
          <w:color w:val="auto"/>
          <w:kern w:val="0"/>
          <w:sz w:val="22"/>
          <w:szCs w:val="22"/>
          <w:lang w:val="en-GB" w:eastAsia="en-GB" w:bidi="ar-SA"/>
        </w:rPr>
      </w:r>
    </w:p>
    <w:p>
      <w:pPr>
        <w:pStyle w:val="Normal"/>
        <w:pBdr/>
        <w:rPr/>
        <w:framePr w:w="7817" w:h="2465" w:x="464" w:y="221" w:wrap="auto" w:vAnchor="text" w:hAnchor="text" w:hRule="exact"/>
      </w:pPr>
      <w:r>
        <w:rPr>
          <w:rFonts w:eastAsia="Calibri" w:cs="Calibri"/>
          <w:color w:val="auto"/>
          <w:kern w:val="0"/>
          <w:sz w:val="22"/>
          <w:szCs w:val="22"/>
          <w:lang w:val="en-GB" w:eastAsia="en-GB" w:bidi="ar-SA"/>
        </w:rPr>
        <w:t xml:space="preserve">Where referenced in the Results section, </w:t>
      </w:r>
      <w:r>
        <w:rPr>
          <w:rFonts w:eastAsia="Calibri" w:cs="Calibri"/>
          <w:color w:val="auto"/>
          <w:kern w:val="0"/>
          <w:sz w:val="22"/>
          <w:szCs w:val="22"/>
          <w:lang w:val="en-GB" w:eastAsia="en-GB" w:bidi="ar-SA"/>
        </w:rPr>
        <w:t>S</w:t>
      </w:r>
      <w:r>
        <w:rPr>
          <w:rFonts w:eastAsia="Calibri" w:cs="Calibri"/>
          <w:color w:val="auto"/>
          <w:kern w:val="0"/>
          <w:sz w:val="22"/>
          <w:szCs w:val="22"/>
          <w:lang w:val="en-GB" w:eastAsia="en-GB" w:bidi="ar-SA"/>
        </w:rPr>
        <w:t xml:space="preserve">upplementary </w:t>
      </w:r>
      <w:r>
        <w:rPr>
          <w:rFonts w:eastAsia="Calibri" w:cs="Calibri"/>
          <w:color w:val="auto"/>
          <w:kern w:val="0"/>
          <w:sz w:val="22"/>
          <w:szCs w:val="22"/>
          <w:lang w:val="en-GB" w:eastAsia="en-GB" w:bidi="ar-SA"/>
        </w:rPr>
        <w:t>Files</w:t>
      </w:r>
      <w:r>
        <w:rPr>
          <w:rFonts w:eastAsia="Calibri" w:cs="Calibri"/>
          <w:color w:val="auto"/>
          <w:kern w:val="0"/>
          <w:sz w:val="22"/>
          <w:szCs w:val="22"/>
          <w:lang w:val="en-GB" w:eastAsia="en-GB" w:bidi="ar-SA"/>
        </w:rPr>
        <w:t xml:space="preserve"> are provided with fold change, percentage expression and adjusted p-values for gene expression analysis.</w:t>
      </w:r>
    </w:p>
    <w:p>
      <w:pPr>
        <w:pStyle w:val="Normal"/>
        <w:pBdr/>
        <w:rPr>
          <w:rFonts w:ascii="Calibri" w:hAnsi="Calibri" w:eastAsia="Calibri" w:cs="Calibri" w:asciiTheme="minorHAnsi" w:hAnsiTheme="minorHAnsi"/>
          <w:color w:val="auto"/>
          <w:kern w:val="0"/>
          <w:sz w:val="22"/>
          <w:szCs w:val="22"/>
          <w:lang w:val="en-GB" w:eastAsia="en-GB" w:bidi="ar-SA"/>
        </w:rPr>
        <w:framePr w:w="7817" w:h="2465" w:x="464" w:y="221" w:wrap="auto" w:vAnchor="text" w:hAnchor="text" w:hRule="exact"/>
      </w:pPr>
      <w:r>
        <w:rPr>
          <w:rFonts w:eastAsia="Calibri" w:cs="Calibri"/>
          <w:color w:val="auto"/>
          <w:kern w:val="0"/>
          <w:sz w:val="22"/>
          <w:szCs w:val="22"/>
          <w:lang w:val="en-GB" w:eastAsia="en-GB" w:bidi="ar-SA"/>
        </w:rPr>
      </w:r>
    </w:p>
    <w:p>
      <w:pPr>
        <w:pStyle w:val="Normal"/>
        <w:pBdr/>
        <w:rPr>
          <w:rFonts w:ascii="Calibri" w:hAnsi="Calibri" w:eastAsia="Calibri" w:cs="Calibri" w:asciiTheme="minorHAnsi" w:hAnsiTheme="minorHAnsi"/>
          <w:color w:val="auto"/>
          <w:kern w:val="0"/>
          <w:sz w:val="22"/>
          <w:szCs w:val="22"/>
          <w:lang w:val="en-GB" w:eastAsia="en-GB" w:bidi="ar-SA"/>
        </w:rPr>
        <w:framePr w:w="7817" w:h="2465" w:x="464" w:y="221" w:wrap="auto" w:vAnchor="text" w:hAnchor="text" w:hRule="exact"/>
      </w:pPr>
      <w:r>
        <w:rPr>
          <w:rFonts w:eastAsia="Calibri" w:cs="Calibri"/>
          <w:color w:val="auto"/>
          <w:kern w:val="0"/>
          <w:sz w:val="22"/>
          <w:szCs w:val="22"/>
          <w:lang w:val="en-GB" w:eastAsia="en-GB" w:bidi="ar-SA"/>
        </w:rPr>
      </w:r>
    </w:p>
    <w:p>
      <w:pPr>
        <w:pStyle w:val="Normal"/>
        <w:pBdr/>
        <w:rPr>
          <w:rFonts w:ascii="Calibri" w:hAnsi="Calibri" w:eastAsia="Calibri" w:cs="Calibri" w:asciiTheme="minorHAnsi" w:hAnsiTheme="minorHAnsi"/>
          <w:color w:val="auto"/>
          <w:kern w:val="0"/>
          <w:sz w:val="22"/>
          <w:szCs w:val="22"/>
          <w:lang w:val="en-GB" w:eastAsia="en-GB" w:bidi="ar-SA"/>
        </w:rPr>
        <w:framePr w:w="7817" w:h="2465" w:x="464" w:y="221" w:wrap="auto" w:vAnchor="text" w:hAnchor="text" w:hRule="exact"/>
      </w:pPr>
      <w:r>
        <w:rPr>
          <w:rFonts w:eastAsia="Calibri" w:cs="Calibri"/>
          <w:color w:val="auto"/>
          <w:kern w:val="0"/>
          <w:sz w:val="22"/>
          <w:szCs w:val="22"/>
          <w:lang w:val="en-GB" w:eastAsia="en-GB" w:bidi="ar-SA"/>
        </w:rPr>
      </w:r>
    </w:p>
    <w:p>
      <w:pPr>
        <w:pStyle w:val="Normal"/>
        <w:pBdr/>
        <w:rPr>
          <w:rFonts w:ascii="Calibri" w:hAnsi="Calibri" w:eastAsia="Calibri" w:cs="Calibri" w:asciiTheme="minorHAnsi" w:hAnsiTheme="minorHAnsi"/>
          <w:color w:val="auto"/>
          <w:kern w:val="0"/>
          <w:sz w:val="22"/>
          <w:szCs w:val="22"/>
          <w:lang w:val="en-GB" w:eastAsia="en-GB" w:bidi="ar-SA"/>
        </w:rPr>
        <w:framePr w:w="7817" w:h="2465" w:x="464" w:y="221" w:wrap="auto" w:vAnchor="text" w:hAnchor="text" w:hRule="exact"/>
      </w:pPr>
      <w:r>
        <w:rPr>
          <w:rFonts w:eastAsia="Calibri" w:cs="Calibri"/>
          <w:color w:val="auto"/>
          <w:kern w:val="0"/>
          <w:sz w:val="22"/>
          <w:szCs w:val="22"/>
          <w:lang w:val="en-GB" w:eastAsia="en-GB" w:bidi="ar-SA"/>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rPr>
      </w:pPr>
      <w:r>
        <w:rPr>
          <w:rFonts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b/>
        </w:rPr>
      </w:r>
    </w:p>
    <w:p>
      <w:pPr>
        <w:pStyle w:val="Normal"/>
        <w:rPr>
          <w:rFonts w:ascii="Calibri" w:hAnsi="Calibri" w:asciiTheme="minorHAnsi" w:hAnsiTheme="minorHAnsi"/>
          <w:b/>
          <w:b/>
          <w:sz w:val="22"/>
          <w:szCs w:val="22"/>
        </w:rPr>
      </w:pPr>
      <w:r>
        <w:rPr>
          <w:rFonts w:asciiTheme="minorHAnsi" w:hAnsiTheme="minorHAnsi"/>
          <w:b/>
          <w:sz w:val="22"/>
          <w:szCs w:val="22"/>
        </w:rPr>
      </w:r>
    </w:p>
    <w:p>
      <w:pPr>
        <w:pStyle w:val="Normal"/>
        <w:rPr>
          <w:rFonts w:ascii="Calibri" w:hAnsi="Calibri" w:asciiTheme="minorHAnsi" w:hAnsiTheme="minorHAnsi"/>
          <w:b/>
          <w:b/>
          <w:sz w:val="22"/>
          <w:szCs w:val="22"/>
        </w:rPr>
      </w:pPr>
      <w:r>
        <w:rPr>
          <w:rFonts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b/>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sz w:val="22"/>
          <w:szCs w:val="22"/>
        </w:rPr>
      </w:pPr>
      <w:r>
        <w:rPr>
          <w:rFonts w:asciiTheme="minorHAnsi" w:hAnsiTheme="minorHAnsi"/>
          <w:b/>
          <w:sz w:val="22"/>
          <w:szCs w:val="22"/>
        </w:rPr>
      </w:r>
    </w:p>
    <w:p>
      <w:pPr>
        <w:pStyle w:val="Normal"/>
        <w:rPr>
          <w:rFonts w:ascii="Calibri" w:hAnsi="Calibri" w:asciiTheme="minorHAnsi" w:hAnsiTheme="minorHAnsi"/>
          <w:b/>
          <w:b/>
          <w:sz w:val="22"/>
          <w:szCs w:val="22"/>
        </w:rPr>
      </w:pPr>
      <w:r>
        <w:rPr>
          <w:rFonts w:asciiTheme="minorHAnsi" w:hAnsiTheme="minorHAnsi"/>
          <w:b/>
          <w:sz w:val="22"/>
          <w:szCs w:val="22"/>
        </w:rPr>
        <w:t>Additional data files (“source data”)</w:t>
      </w:r>
    </w:p>
    <w:p>
      <w:pPr>
        <w:pStyle w:val="Normal"/>
        <w:pBdr/>
        <w:rPr>
          <w:rFonts w:ascii="Calibri" w:hAnsi="Calibri" w:asciiTheme="minorHAnsi" w:hAnsiTheme="minorHAnsi"/>
          <w:sz w:val="22"/>
          <w:szCs w:val="22"/>
        </w:rPr>
        <w:framePr w:w="7817" w:h="1088" w:x="492" w:y="65" w:wrap="auto" w:vAnchor="text" w:hAnchor="text" w:hRule="exact"/>
      </w:pPr>
      <w:r>
        <w:rPr>
          <w:rFonts w:asciiTheme="minorHAnsi" w:hAnsiTheme="minorHAnsi"/>
          <w:sz w:val="22"/>
          <w:szCs w:val="22"/>
        </w:rPr>
        <w:t xml:space="preserve">No data masking </w:t>
      </w:r>
      <w:r>
        <w:rPr>
          <w:rFonts w:eastAsia="Calibri" w:cs="Calibri"/>
          <w:color w:val="auto"/>
          <w:kern w:val="0"/>
          <w:sz w:val="22"/>
          <w:szCs w:val="22"/>
          <w:lang w:val="en-GB" w:eastAsia="en-GB" w:bidi="ar-SA"/>
        </w:rPr>
        <w:t xml:space="preserve">was </w:t>
      </w:r>
      <w:r>
        <w:rPr>
          <w:rFonts w:asciiTheme="minorHAnsi" w:hAnsiTheme="minorHAnsi"/>
          <w:sz w:val="22"/>
          <w:szCs w:val="22"/>
        </w:rPr>
        <w:t xml:space="preserve">used in this study. scRNA-Seq batch information and the availability of samples on GEO is detailed in </w:t>
      </w:r>
      <w:r>
        <w:rPr>
          <w:rFonts w:eastAsia="Calibri" w:cs="Calibri"/>
          <w:color w:val="auto"/>
          <w:kern w:val="0"/>
          <w:sz w:val="22"/>
          <w:szCs w:val="22"/>
          <w:lang w:val="en-GB" w:eastAsia="en-GB" w:bidi="ar-SA"/>
        </w:rPr>
        <w:t>Supplementary File 9</w:t>
      </w:r>
      <w:r>
        <w:rPr>
          <w:rFonts w:asciiTheme="minorHAnsi" w:hAnsiTheme="minorHAnsi"/>
          <w:sz w:val="22"/>
          <w:szCs w:val="22"/>
        </w:rPr>
        <w:t>.</w:t>
      </w:r>
    </w:p>
    <w:p>
      <w:pPr>
        <w:pStyle w:val="Normal"/>
        <w:rPr>
          <w:rFonts w:ascii="Calibri" w:hAnsi="Calibri" w:asciiTheme="minorHAnsi" w:hAnsiTheme="minorHAnsi"/>
          <w:b/>
          <w:b/>
          <w:sz w:val="22"/>
          <w:szCs w:val="22"/>
        </w:rPr>
      </w:pPr>
      <w:r>
        <w:rPr>
          <w:rFonts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sz w:val="16"/>
          <w:szCs w:val="16"/>
        </w:rPr>
      </w:r>
    </w:p>
    <w:p>
      <w:pPr>
        <w:pStyle w:val="Normal"/>
        <w:rPr>
          <w:rFonts w:ascii="Calibri" w:hAnsi="Calibri" w:asciiTheme="minorHAnsi" w:hAnsiTheme="minorHAnsi"/>
          <w:sz w:val="22"/>
          <w:szCs w:val="22"/>
        </w:rPr>
      </w:pPr>
      <w:r>
        <w:rPr>
          <w:rFonts w:asciiTheme="minorHAnsi" w:hAnsiTheme="minorHAnsi"/>
          <w:sz w:val="22"/>
          <w:szCs w:val="22"/>
        </w:rPr>
        <w:t>Please indicate the figures or tables for which source data files have been provided:</w:t>
      </w:r>
    </w:p>
    <w:p>
      <w:pPr>
        <w:pStyle w:val="Normal"/>
        <w:rPr/>
      </w:pPr>
      <w:r>
        <w:rPr/>
      </w:r>
    </w:p>
    <w:p>
      <w:pPr>
        <w:pStyle w:val="Normal"/>
        <w:rPr/>
      </w:pPr>
      <w:r>
        <w:rPr/>
      </w:r>
    </w:p>
    <w:p>
      <w:pPr>
        <w:pStyle w:val="Normal"/>
        <w:pBdr/>
        <w:rPr>
          <w:rFonts w:ascii="Calibri" w:hAnsi="Calibri" w:asciiTheme="minorHAnsi" w:hAnsiTheme="minorHAnsi"/>
          <w:sz w:val="22"/>
          <w:szCs w:val="22"/>
        </w:rPr>
        <w:framePr w:w="7817" w:h="2436" w:x="1904" w:y="1" w:wrap="auto" w:vAnchor="text" w:hAnchor="page" w:hRule="exact"/>
      </w:pPr>
      <w:r>
        <w:rPr>
          <w:rFonts w:eastAsia="Calibri" w:cs="Calibri"/>
          <w:color w:val="auto"/>
          <w:kern w:val="0"/>
          <w:sz w:val="22"/>
          <w:szCs w:val="22"/>
          <w:lang w:val="en-GB" w:eastAsia="en-GB" w:bidi="ar-SA"/>
        </w:rPr>
        <w:t>S</w:t>
      </w:r>
      <w:r>
        <w:rPr>
          <w:rFonts w:eastAsia="Calibri" w:cs="Calibri"/>
          <w:color w:val="auto"/>
          <w:kern w:val="0"/>
          <w:sz w:val="22"/>
          <w:szCs w:val="22"/>
          <w:lang w:val="en-GB" w:eastAsia="en-GB" w:bidi="ar-SA"/>
        </w:rPr>
        <w:t>ource data files have been provided for Figure 2, Figure 3, Figure 5 and Figure 7.</w:t>
      </w:r>
    </w:p>
    <w:p>
      <w:pPr>
        <w:pStyle w:val="Normal"/>
        <w:pBdr/>
        <w:rPr>
          <w:rFonts w:ascii="Calibri" w:hAnsi="Calibri" w:asciiTheme="minorHAnsi" w:hAnsiTheme="minorHAnsi"/>
          <w:sz w:val="22"/>
          <w:szCs w:val="22"/>
        </w:rPr>
        <w:framePr w:w="7817" w:h="2436" w:x="1904" w:y="1" w:wrap="auto" w:vAnchor="text" w:hAnchor="page" w:hRule="exact"/>
      </w:pPr>
      <w:r>
        <w:rPr/>
      </w:r>
    </w:p>
    <w:p>
      <w:pPr>
        <w:pStyle w:val="Normal"/>
        <w:pBdr/>
        <w:rPr>
          <w:rFonts w:ascii="Calibri" w:hAnsi="Calibri" w:asciiTheme="minorHAnsi" w:hAnsiTheme="minorHAnsi"/>
          <w:sz w:val="22"/>
          <w:szCs w:val="22"/>
        </w:rPr>
        <w:framePr w:w="7817" w:h="2436" w:x="1904" w:y="1" w:wrap="auto" w:vAnchor="text" w:hAnchor="page" w:hRule="exact"/>
      </w:pPr>
      <w:r>
        <w:rPr>
          <w:rFonts w:eastAsia="Calibri" w:cs="Calibri"/>
          <w:color w:val="auto"/>
          <w:kern w:val="0"/>
          <w:sz w:val="22"/>
          <w:szCs w:val="22"/>
          <w:lang w:val="en-GB" w:eastAsia="en-GB" w:bidi="ar-SA"/>
        </w:rPr>
        <w:t>Supplementary files have been provided for Figure 1, Figure 2, Figure 3, Figure 4, Figure 7, Supplemental Figures, and the Methods section. A legend for these files has been included in the manuscript.</w:t>
      </w:r>
    </w:p>
    <w:p>
      <w:pPr>
        <w:pStyle w:val="Normal"/>
        <w:pBdr/>
        <w:rPr>
          <w:rFonts w:ascii="Calibri" w:hAnsi="Calibri" w:asciiTheme="minorHAnsi" w:hAnsiTheme="minorHAnsi"/>
          <w:sz w:val="22"/>
          <w:szCs w:val="22"/>
        </w:rPr>
        <w:framePr w:w="7817" w:h="2436" w:x="1904" w:y="1" w:wrap="auto" w:vAnchor="text" w:hAnchor="page" w:hRule="exact"/>
      </w:pPr>
      <w:r>
        <w:rPr/>
      </w:r>
    </w:p>
    <w:p>
      <w:pPr>
        <w:pStyle w:val="Normal"/>
        <w:pBdr/>
        <w:rPr>
          <w:rFonts w:ascii="Calibri" w:hAnsi="Calibri" w:asciiTheme="minorHAnsi" w:hAnsiTheme="minorHAnsi"/>
          <w:sz w:val="22"/>
          <w:szCs w:val="22"/>
        </w:rPr>
        <w:framePr w:w="7817" w:h="2436" w:x="1904" w:y="1" w:wrap="auto" w:vAnchor="text" w:hAnchor="page" w:hRule="exact"/>
      </w:pPr>
      <w:r>
        <w:rPr>
          <w:rFonts w:eastAsia="Calibri" w:cs="Calibri"/>
          <w:color w:val="auto"/>
          <w:kern w:val="0"/>
          <w:sz w:val="22"/>
          <w:szCs w:val="22"/>
          <w:lang w:val="en-GB" w:eastAsia="en-GB" w:bidi="ar-SA"/>
        </w:rPr>
        <w:t xml:space="preserve">The R packages, software and parameters used for data analysis are </w:t>
      </w:r>
      <w:r>
        <w:rPr>
          <w:rFonts w:eastAsia="Calibri" w:cs="Calibri"/>
          <w:color w:val="auto"/>
          <w:kern w:val="0"/>
          <w:sz w:val="22"/>
          <w:szCs w:val="22"/>
          <w:lang w:val="en-GB" w:eastAsia="en-GB" w:bidi="ar-SA"/>
        </w:rPr>
        <w:t>exaplained</w:t>
      </w:r>
      <w:r>
        <w:rPr>
          <w:rFonts w:eastAsia="Calibri" w:cs="Calibri"/>
          <w:color w:val="auto"/>
          <w:kern w:val="0"/>
          <w:sz w:val="22"/>
          <w:szCs w:val="22"/>
          <w:lang w:val="en-GB" w:eastAsia="en-GB" w:bidi="ar-SA"/>
        </w:rPr>
        <w:t xml:space="preserve"> in the Methods section.</w:t>
      </w:r>
    </w:p>
    <w:p>
      <w:pPr>
        <w:pStyle w:val="Normal"/>
        <w:pBdr/>
        <w:rPr>
          <w:rFonts w:ascii="Calibri" w:hAnsi="Calibri" w:asciiTheme="minorHAnsi" w:hAnsiTheme="minorHAnsi"/>
          <w:sz w:val="22"/>
          <w:szCs w:val="22"/>
        </w:rPr>
        <w:framePr w:w="7817" w:h="2436" w:x="1904" w:y="1" w:wrap="auto" w:vAnchor="text" w:hAnchor="page" w:hRule="exact"/>
      </w:pPr>
      <w:r>
        <w:rPr/>
      </w:r>
    </w:p>
    <w:sectPr>
      <w:headerReference w:type="default" r:id="rId6"/>
      <w:headerReference w:type="first" r:id="rId7"/>
      <w:footerReference w:type="default" r:id="rId8"/>
      <w:footerReference w:type="first" r:id="rId9"/>
      <w:type w:val="nextPage"/>
      <w:pgSz w:w="11906" w:h="16838"/>
      <w:pgMar w:left="1440" w:right="1440" w:header="567" w:top="1440" w:footer="567" w:bottom="1440" w:gutter="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Georgia">
    <w:charset w:val="01"/>
    <w:family w:val="roman"/>
    <w:pitch w:val="variable"/>
  </w:font>
  <w:font w:name="Cambria">
    <w:charset w:val="01"/>
    <w:family w:val="roman"/>
    <w:pitch w:val="variable"/>
  </w:font>
  <w:font w:name="utkal">
    <w:charset w:val="01"/>
    <w:family w:val="auto"/>
    <w:pitch w:val="default"/>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1" allowOverlap="1" relativeHeight="4">
          <wp:simplePos x="0" y="0"/>
          <wp:positionH relativeFrom="column">
            <wp:posOffset>-908685</wp:posOffset>
          </wp:positionH>
          <wp:positionV relativeFrom="paragraph">
            <wp:posOffset>19050</wp:posOffset>
          </wp:positionV>
          <wp:extent cx="7560310" cy="724535"/>
          <wp:effectExtent l="0" t="0" r="0" b="0"/>
          <wp:wrapSquare wrapText="bothSides"/>
          <wp:docPr id="3" name="image2.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g" descr=""/>
                  <pic:cNvPicPr>
                    <a:picLocks noChangeAspect="1" noChangeArrowheads="1"/>
                  </pic:cNvPicPr>
                </pic:nvPicPr>
                <pic:blipFill>
                  <a:blip r:embed="rId1"/>
                  <a:stretch>
                    <a:fillRect/>
                  </a:stretch>
                </pic:blipFill>
                <pic:spPr bwMode="auto">
                  <a:xfrm>
                    <a:off x="0" y="0"/>
                    <a:ext cx="7560310" cy="724535"/>
                  </a:xfrm>
                  <a:prstGeom prst="rect">
                    <a:avLst/>
                  </a:prstGeom>
                </pic:spPr>
              </pic:pic>
            </a:graphicData>
          </a:graphic>
        </wp:anchor>
      </w:drawing>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1" allowOverlap="1" relativeHeight="5">
          <wp:simplePos x="0" y="0"/>
          <wp:positionH relativeFrom="column">
            <wp:posOffset>-914400</wp:posOffset>
          </wp:positionH>
          <wp:positionV relativeFrom="paragraph">
            <wp:posOffset>-431800</wp:posOffset>
          </wp:positionV>
          <wp:extent cx="7559675" cy="723900"/>
          <wp:effectExtent l="0" t="0" r="0" b="0"/>
          <wp:wrapSquare wrapText="bothSides"/>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tretch>
                    <a:fillRect/>
                  </a:stretch>
                </pic:blipFill>
                <pic:spPr bwMode="auto">
                  <a:xfrm>
                    <a:off x="0" y="0"/>
                    <a:ext cx="7559675" cy="723900"/>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r>
  </w:p>
  <w:p>
    <w:pPr>
      <w:pStyle w:val="Normal"/>
      <w:tabs>
        <w:tab w:val="clear" w:pos="720"/>
        <w:tab w:val="center" w:pos="4513" w:leader="none"/>
        <w:tab w:val="right" w:pos="9026" w:leader="none"/>
      </w:tabs>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13" w:leader="none"/>
        <w:tab w:val="right" w:pos="9026" w:leader="none"/>
      </w:tabs>
      <w:rPr>
        <w:color w:val="000000"/>
      </w:rPr>
    </w:pPr>
    <w:r>
      <w:rPr>
        <w:color w:val="000000"/>
      </w:rPr>
      <w:drawing>
        <wp:anchor behindDoc="1" distT="0" distB="0" distL="114300" distR="114300" simplePos="0" locked="0" layoutInCell="1" allowOverlap="1" relativeHeight="2">
          <wp:simplePos x="0" y="0"/>
          <wp:positionH relativeFrom="column">
            <wp:posOffset>3533775</wp:posOffset>
          </wp:positionH>
          <wp:positionV relativeFrom="paragraph">
            <wp:posOffset>-257175</wp:posOffset>
          </wp:positionV>
          <wp:extent cx="3390900" cy="1038225"/>
          <wp:effectExtent l="0" t="0" r="0" b="0"/>
          <wp:wrapSquare wrapText="bothSides"/>
          <wp:docPr id="1"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
                  <pic:cNvPicPr>
                    <a:picLocks noChangeAspect="1" noChangeArrowheads="1"/>
                  </pic:cNvPicPr>
                </pic:nvPicPr>
                <pic:blipFill>
                  <a:blip r:embed="rId1"/>
                  <a:srcRect l="55245" t="0" r="0" b="0"/>
                  <a:stretch>
                    <a:fillRect/>
                  </a:stretch>
                </pic:blipFill>
                <pic:spPr bwMode="auto">
                  <a:xfrm>
                    <a:off x="0" y="0"/>
                    <a:ext cx="3390900" cy="1038225"/>
                  </a:xfrm>
                  <a:prstGeom prst="rect">
                    <a:avLst/>
                  </a:prstGeom>
                </pic:spPr>
              </pic:pic>
            </a:graphicData>
          </a:graphic>
        </wp:anchor>
      </w:drawing>
    </w:r>
  </w:p>
  <w:p>
    <w:pPr>
      <w:pStyle w:val="Normal"/>
      <w:tabs>
        <w:tab w:val="clear" w:pos="720"/>
        <w:tab w:val="center" w:pos="4513" w:leader="none"/>
        <w:tab w:val="right" w:pos="9026" w:leader="none"/>
      </w:tabs>
      <w:rPr>
        <w:color w:val="000000"/>
      </w:rPr>
    </w:pPr>
    <w:r>
      <w:rPr/>
      <w:drawing>
        <wp:inline distT="0" distB="0" distL="0" distR="0">
          <wp:extent cx="1295400" cy="447675"/>
          <wp:effectExtent l="0" t="0" r="0" b="0"/>
          <wp:docPr id="2" name="image3.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g" descr=""/>
                  <pic:cNvPicPr>
                    <a:picLocks noChangeAspect="1" noChangeArrowheads="1"/>
                  </pic:cNvPicPr>
                </pic:nvPicPr>
                <pic:blipFill>
                  <a:blip r:embed="rId2"/>
                  <a:stretch>
                    <a:fillRect/>
                  </a:stretch>
                </pic:blipFill>
                <pic:spPr bwMode="auto">
                  <a:xfrm>
                    <a:off x="0" y="0"/>
                    <a:ext cx="1295400" cy="4476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4"/>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Calibri"/>
      <w:color w:val="auto"/>
      <w:kern w:val="0"/>
      <w:sz w:val="24"/>
      <w:szCs w:val="24"/>
      <w:lang w:val="en-GB" w:eastAsia="en-GB" w:bidi="ar-SA"/>
    </w:rPr>
  </w:style>
  <w:style w:type="paragraph" w:styleId="Heading1">
    <w:name w:val="Heading 1"/>
    <w:basedOn w:val="Normal"/>
    <w:next w:val="Normal"/>
    <w:uiPriority w:val="9"/>
    <w:qFormat/>
    <w:pPr>
      <w:keepNext w:val="true"/>
      <w:keepLines/>
      <w:spacing w:before="480" w:after="120"/>
      <w:outlineLvl w:val="0"/>
    </w:pPr>
    <w:rPr>
      <w:b/>
      <w:sz w:val="48"/>
      <w:szCs w:val="48"/>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ca1029"/>
    <w:rPr/>
  </w:style>
  <w:style w:type="character" w:styleId="FooterChar" w:customStyle="1">
    <w:name w:val="Footer Char"/>
    <w:basedOn w:val="DefaultParagraphFont"/>
    <w:link w:val="Footer"/>
    <w:uiPriority w:val="99"/>
    <w:qFormat/>
    <w:rsid w:val="00ca1029"/>
    <w:rPr/>
  </w:style>
  <w:style w:type="character" w:styleId="InternetLink">
    <w:name w:val="Hyperlink"/>
    <w:basedOn w:val="DefaultParagraphFont"/>
    <w:uiPriority w:val="99"/>
    <w:unhideWhenUsed/>
    <w:rsid w:val="00fd4937"/>
    <w:rPr>
      <w:color w:val="0563C1" w:themeColor="hyperlink"/>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HeaderChar"/>
    <w:uiPriority w:val="99"/>
    <w:unhideWhenUsed/>
    <w:rsid w:val="00ca1029"/>
    <w:pPr>
      <w:tabs>
        <w:tab w:val="clear" w:pos="720"/>
        <w:tab w:val="center" w:pos="4513" w:leader="none"/>
        <w:tab w:val="right" w:pos="9026" w:leader="none"/>
      </w:tabs>
    </w:pPr>
    <w:rPr/>
  </w:style>
  <w:style w:type="paragraph" w:styleId="Footer">
    <w:name w:val="Footer"/>
    <w:basedOn w:val="Normal"/>
    <w:link w:val="FooterChar"/>
    <w:uiPriority w:val="99"/>
    <w:unhideWhenUsed/>
    <w:rsid w:val="00ca1029"/>
    <w:pPr>
      <w:tabs>
        <w:tab w:val="clear" w:pos="720"/>
        <w:tab w:val="center" w:pos="4513" w:leader="none"/>
        <w:tab w:val="right" w:pos="9026" w:leader="none"/>
      </w:tabs>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fd4937"/>
    <w:pPr>
      <w:spacing w:before="0" w:after="0"/>
      <w:ind w:left="720" w:hanging="0"/>
      <w:contextualSpacing/>
    </w:pPr>
    <w:rPr>
      <w:rFonts w:ascii="Cambria" w:hAnsi="Cambria" w:eastAsia="MS Minngs" w:cs="Times New Roman"/>
      <w:lang w:val="en-US" w:eastAsia="en-U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t _blank"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jpeg"/>
</Relationships>
</file>

<file path=word/_rels/footer2.xml.rels><?xml version="1.0" encoding="UTF-8"?>
<Relationships xmlns="http://schemas.openxmlformats.org/package/2006/relationships"><Relationship Id="rId1" Type="http://schemas.openxmlformats.org/officeDocument/2006/relationships/image" Target="media/image4.jpeg"/>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Application>LibreOffice/6.4.7.2$Linux_X86_64 LibreOffice_project/40$Build-2</Application>
  <Pages>3</Pages>
  <Words>1046</Words>
  <Characters>5876</Characters>
  <CharactersWithSpaces>6859</CharactersWithSpaces>
  <Paragraphs>48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2021-01-12T11:56:00Z</dcterms:created>
  <dc:creator>Dan Gould</dc:creator>
  <dc:description/>
  <dc:language>en-US</dc:language>
  <cp:lastModifiedBy/>
  <dcterms:modified xsi:type="dcterms:W3CDTF">2022-10-26T16:14:53Z</dcterms:modified>
  <cp:revision>31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