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453D" w14:textId="380B3679" w:rsidR="009276F4" w:rsidRPr="006A75B6" w:rsidRDefault="009276F4" w:rsidP="009276F4">
      <w:pPr>
        <w:rPr>
          <w:b/>
          <w:bCs/>
        </w:rPr>
      </w:pPr>
      <w:r w:rsidRPr="006A75B6">
        <w:rPr>
          <w:b/>
          <w:bCs/>
        </w:rPr>
        <w:t xml:space="preserve">Supplementary </w:t>
      </w:r>
      <w:r>
        <w:rPr>
          <w:b/>
          <w:bCs/>
        </w:rPr>
        <w:t>file</w:t>
      </w:r>
      <w:r w:rsidR="00A65D04">
        <w:rPr>
          <w:b/>
          <w:bCs/>
        </w:rPr>
        <w:t xml:space="preserve"> 1</w:t>
      </w:r>
      <w:r>
        <w:rPr>
          <w:b/>
          <w:bCs/>
        </w:rPr>
        <w:t>: Supplementary results</w:t>
      </w:r>
    </w:p>
    <w:p w14:paraId="602D410D" w14:textId="77777777" w:rsidR="009276F4" w:rsidRDefault="009276F4" w:rsidP="009276F4"/>
    <w:p w14:paraId="08E6F8B1" w14:textId="699DAE7E" w:rsidR="009276F4" w:rsidRDefault="00BD2AE0" w:rsidP="009276F4">
      <w:r w:rsidRPr="006A75B6">
        <w:rPr>
          <w:b/>
          <w:bCs/>
        </w:rPr>
        <w:t xml:space="preserve">Supplementary </w:t>
      </w:r>
      <w:r>
        <w:rPr>
          <w:b/>
          <w:bCs/>
        </w:rPr>
        <w:t xml:space="preserve">file </w:t>
      </w:r>
      <w:r w:rsidR="009276F4">
        <w:rPr>
          <w:b/>
          <w:bCs/>
        </w:rPr>
        <w:t>1</w:t>
      </w:r>
      <w:r w:rsidR="00EA1D35">
        <w:rPr>
          <w:b/>
          <w:bCs/>
        </w:rPr>
        <w:t>a</w:t>
      </w:r>
      <w:r w:rsidR="009276F4">
        <w:rPr>
          <w:b/>
          <w:bCs/>
        </w:rPr>
        <w:t xml:space="preserve">. </w:t>
      </w:r>
      <w:r w:rsidR="009276F4" w:rsidRPr="00E30094">
        <w:t>Proportion of seropositive individuals in the 25-40 years old group. This propo</w:t>
      </w:r>
      <w:r w:rsidR="009276F4">
        <w:t>rtion is used to fix the proportion of individuals born with maternal antibodies and is assumed constant across the study.</w:t>
      </w:r>
    </w:p>
    <w:p w14:paraId="1FDF65B6" w14:textId="77777777" w:rsidR="009276F4" w:rsidRDefault="009276F4" w:rsidP="009276F4"/>
    <w:tbl>
      <w:tblPr>
        <w:tblStyle w:val="PlainTable2"/>
        <w:tblW w:w="0" w:type="auto"/>
        <w:tblLook w:val="04A0" w:firstRow="1" w:lastRow="0" w:firstColumn="1" w:lastColumn="0" w:noHBand="0" w:noVBand="1"/>
      </w:tblPr>
      <w:tblGrid>
        <w:gridCol w:w="1363"/>
        <w:gridCol w:w="756"/>
        <w:gridCol w:w="756"/>
      </w:tblGrid>
      <w:tr w:rsidR="009276F4" w14:paraId="270CEB51" w14:textId="77777777" w:rsidTr="00E300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84DAE90" w14:textId="77777777" w:rsidR="009276F4" w:rsidRDefault="009276F4" w:rsidP="00E30094">
            <w:r>
              <w:t>Serosurvey</w:t>
            </w:r>
          </w:p>
        </w:tc>
        <w:tc>
          <w:tcPr>
            <w:tcW w:w="0" w:type="dxa"/>
          </w:tcPr>
          <w:p w14:paraId="372EB40A" w14:textId="77777777" w:rsidR="009276F4" w:rsidRDefault="009276F4" w:rsidP="00E30094">
            <w:pPr>
              <w:cnfStyle w:val="100000000000" w:firstRow="1" w:lastRow="0" w:firstColumn="0" w:lastColumn="0" w:oddVBand="0" w:evenVBand="0" w:oddHBand="0" w:evenHBand="0" w:firstRowFirstColumn="0" w:firstRowLastColumn="0" w:lastRowFirstColumn="0" w:lastRowLastColumn="0"/>
            </w:pPr>
            <w:r>
              <w:t>1:16 cut-off</w:t>
            </w:r>
          </w:p>
        </w:tc>
        <w:tc>
          <w:tcPr>
            <w:tcW w:w="0" w:type="dxa"/>
          </w:tcPr>
          <w:p w14:paraId="15BDA26D" w14:textId="77777777" w:rsidR="009276F4" w:rsidRDefault="009276F4" w:rsidP="00E30094">
            <w:pPr>
              <w:cnfStyle w:val="100000000000" w:firstRow="1" w:lastRow="0" w:firstColumn="0" w:lastColumn="0" w:oddVBand="0" w:evenVBand="0" w:oddHBand="0" w:evenHBand="0" w:firstRowFirstColumn="0" w:firstRowLastColumn="0" w:lastRowFirstColumn="0" w:lastRowLastColumn="0"/>
            </w:pPr>
            <w:r>
              <w:t>1:64 cut-off</w:t>
            </w:r>
          </w:p>
        </w:tc>
      </w:tr>
      <w:tr w:rsidR="009276F4" w14:paraId="3E32E0CD" w14:textId="77777777" w:rsidTr="00E30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5AC5359" w14:textId="77777777" w:rsidR="009276F4" w:rsidRDefault="009276F4" w:rsidP="00E30094">
            <w:r>
              <w:t>2006</w:t>
            </w:r>
          </w:p>
        </w:tc>
        <w:tc>
          <w:tcPr>
            <w:tcW w:w="0" w:type="dxa"/>
          </w:tcPr>
          <w:p w14:paraId="2F065DC4" w14:textId="77777777" w:rsidR="009276F4" w:rsidRDefault="009276F4" w:rsidP="00E30094">
            <w:pPr>
              <w:cnfStyle w:val="000000100000" w:firstRow="0" w:lastRow="0" w:firstColumn="0" w:lastColumn="0" w:oddVBand="0" w:evenVBand="0" w:oddHBand="1" w:evenHBand="0" w:firstRowFirstColumn="0" w:firstRowLastColumn="0" w:lastRowFirstColumn="0" w:lastRowLastColumn="0"/>
            </w:pPr>
            <w:r>
              <w:t>0.987</w:t>
            </w:r>
          </w:p>
        </w:tc>
        <w:tc>
          <w:tcPr>
            <w:tcW w:w="0" w:type="dxa"/>
          </w:tcPr>
          <w:p w14:paraId="2247F947" w14:textId="77777777" w:rsidR="009276F4" w:rsidRDefault="009276F4" w:rsidP="00E30094">
            <w:pPr>
              <w:cnfStyle w:val="000000100000" w:firstRow="0" w:lastRow="0" w:firstColumn="0" w:lastColumn="0" w:oddVBand="0" w:evenVBand="0" w:oddHBand="1" w:evenHBand="0" w:firstRowFirstColumn="0" w:firstRowLastColumn="0" w:lastRowFirstColumn="0" w:lastRowLastColumn="0"/>
            </w:pPr>
            <w:r>
              <w:t>0.882</w:t>
            </w:r>
          </w:p>
        </w:tc>
      </w:tr>
      <w:tr w:rsidR="009276F4" w14:paraId="1343594A" w14:textId="77777777" w:rsidTr="00E30094">
        <w:tc>
          <w:tcPr>
            <w:cnfStyle w:val="001000000000" w:firstRow="0" w:lastRow="0" w:firstColumn="1" w:lastColumn="0" w:oddVBand="0" w:evenVBand="0" w:oddHBand="0" w:evenHBand="0" w:firstRowFirstColumn="0" w:firstRowLastColumn="0" w:lastRowFirstColumn="0" w:lastRowLastColumn="0"/>
            <w:tcW w:w="0" w:type="dxa"/>
          </w:tcPr>
          <w:p w14:paraId="40E6E14E" w14:textId="77777777" w:rsidR="009276F4" w:rsidRDefault="009276F4" w:rsidP="00E30094">
            <w:r>
              <w:t>2011</w:t>
            </w:r>
          </w:p>
        </w:tc>
        <w:tc>
          <w:tcPr>
            <w:tcW w:w="0" w:type="dxa"/>
          </w:tcPr>
          <w:p w14:paraId="745E3617" w14:textId="77777777" w:rsidR="009276F4" w:rsidRDefault="009276F4" w:rsidP="00E30094">
            <w:pPr>
              <w:cnfStyle w:val="000000000000" w:firstRow="0" w:lastRow="0" w:firstColumn="0" w:lastColumn="0" w:oddVBand="0" w:evenVBand="0" w:oddHBand="0" w:evenHBand="0" w:firstRowFirstColumn="0" w:firstRowLastColumn="0" w:lastRowFirstColumn="0" w:lastRowLastColumn="0"/>
            </w:pPr>
            <w:r>
              <w:t>0.982</w:t>
            </w:r>
          </w:p>
        </w:tc>
        <w:tc>
          <w:tcPr>
            <w:tcW w:w="0" w:type="dxa"/>
          </w:tcPr>
          <w:p w14:paraId="5D4DF881" w14:textId="77777777" w:rsidR="009276F4" w:rsidRDefault="009276F4" w:rsidP="00E30094">
            <w:pPr>
              <w:cnfStyle w:val="000000000000" w:firstRow="0" w:lastRow="0" w:firstColumn="0" w:lastColumn="0" w:oddVBand="0" w:evenVBand="0" w:oddHBand="0" w:evenHBand="0" w:firstRowFirstColumn="0" w:firstRowLastColumn="0" w:lastRowFirstColumn="0" w:lastRowLastColumn="0"/>
            </w:pPr>
            <w:r>
              <w:t>0.909</w:t>
            </w:r>
          </w:p>
        </w:tc>
      </w:tr>
      <w:tr w:rsidR="009276F4" w14:paraId="68041729" w14:textId="77777777" w:rsidTr="00E30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9C518FE" w14:textId="77777777" w:rsidR="009276F4" w:rsidRDefault="009276F4" w:rsidP="00E30094">
            <w:r>
              <w:t>2017</w:t>
            </w:r>
          </w:p>
        </w:tc>
        <w:tc>
          <w:tcPr>
            <w:tcW w:w="0" w:type="dxa"/>
          </w:tcPr>
          <w:p w14:paraId="395C8916" w14:textId="77777777" w:rsidR="009276F4" w:rsidRDefault="009276F4" w:rsidP="00E30094">
            <w:pPr>
              <w:cnfStyle w:val="000000100000" w:firstRow="0" w:lastRow="0" w:firstColumn="0" w:lastColumn="0" w:oddVBand="0" w:evenVBand="0" w:oddHBand="1" w:evenHBand="0" w:firstRowFirstColumn="0" w:firstRowLastColumn="0" w:lastRowFirstColumn="0" w:lastRowLastColumn="0"/>
            </w:pPr>
            <w:r>
              <w:t>0.977</w:t>
            </w:r>
          </w:p>
        </w:tc>
        <w:tc>
          <w:tcPr>
            <w:tcW w:w="0" w:type="dxa"/>
          </w:tcPr>
          <w:p w14:paraId="2E03EF67" w14:textId="77777777" w:rsidR="009276F4" w:rsidRDefault="009276F4" w:rsidP="00E30094">
            <w:pPr>
              <w:cnfStyle w:val="000000100000" w:firstRow="0" w:lastRow="0" w:firstColumn="0" w:lastColumn="0" w:oddVBand="0" w:evenVBand="0" w:oddHBand="1" w:evenHBand="0" w:firstRowFirstColumn="0" w:firstRowLastColumn="0" w:lastRowFirstColumn="0" w:lastRowLastColumn="0"/>
            </w:pPr>
            <w:r>
              <w:t>0.920</w:t>
            </w:r>
          </w:p>
        </w:tc>
      </w:tr>
      <w:tr w:rsidR="009276F4" w14:paraId="4997995C" w14:textId="77777777" w:rsidTr="00E30094">
        <w:tc>
          <w:tcPr>
            <w:cnfStyle w:val="001000000000" w:firstRow="0" w:lastRow="0" w:firstColumn="1" w:lastColumn="0" w:oddVBand="0" w:evenVBand="0" w:oddHBand="0" w:evenHBand="0" w:firstRowFirstColumn="0" w:firstRowLastColumn="0" w:lastRowFirstColumn="0" w:lastRowLastColumn="0"/>
            <w:tcW w:w="0" w:type="dxa"/>
          </w:tcPr>
          <w:p w14:paraId="7FF96A70" w14:textId="77777777" w:rsidR="009276F4" w:rsidRDefault="009276F4" w:rsidP="00E30094">
            <w:r>
              <w:t>All years combined</w:t>
            </w:r>
          </w:p>
        </w:tc>
        <w:tc>
          <w:tcPr>
            <w:tcW w:w="0" w:type="dxa"/>
          </w:tcPr>
          <w:p w14:paraId="1E755622" w14:textId="77777777" w:rsidR="009276F4" w:rsidRDefault="009276F4" w:rsidP="00E30094">
            <w:pPr>
              <w:cnfStyle w:val="000000000000" w:firstRow="0" w:lastRow="0" w:firstColumn="0" w:lastColumn="0" w:oddVBand="0" w:evenVBand="0" w:oddHBand="0" w:evenHBand="0" w:firstRowFirstColumn="0" w:firstRowLastColumn="0" w:lastRowFirstColumn="0" w:lastRowLastColumn="0"/>
            </w:pPr>
            <w:r>
              <w:t>0.982</w:t>
            </w:r>
          </w:p>
        </w:tc>
        <w:tc>
          <w:tcPr>
            <w:tcW w:w="0" w:type="dxa"/>
          </w:tcPr>
          <w:p w14:paraId="16760B2E" w14:textId="77777777" w:rsidR="009276F4" w:rsidRDefault="009276F4" w:rsidP="00E30094">
            <w:pPr>
              <w:cnfStyle w:val="000000000000" w:firstRow="0" w:lastRow="0" w:firstColumn="0" w:lastColumn="0" w:oddVBand="0" w:evenVBand="0" w:oddHBand="0" w:evenHBand="0" w:firstRowFirstColumn="0" w:firstRowLastColumn="0" w:lastRowFirstColumn="0" w:lastRowLastColumn="0"/>
            </w:pPr>
            <w:r>
              <w:t>0.904</w:t>
            </w:r>
          </w:p>
        </w:tc>
      </w:tr>
    </w:tbl>
    <w:p w14:paraId="57E33A5C" w14:textId="77777777" w:rsidR="009276F4" w:rsidRPr="00E30094" w:rsidRDefault="009276F4" w:rsidP="009276F4"/>
    <w:p w14:paraId="4342B064" w14:textId="77777777" w:rsidR="009276F4" w:rsidRDefault="009276F4" w:rsidP="009276F4">
      <w:pPr>
        <w:rPr>
          <w:b/>
          <w:bCs/>
        </w:rPr>
      </w:pPr>
    </w:p>
    <w:p w14:paraId="7075C56A" w14:textId="37A3F7E9" w:rsidR="009276F4" w:rsidRDefault="00BD2AE0" w:rsidP="009276F4">
      <w:r w:rsidRPr="006A75B6">
        <w:rPr>
          <w:b/>
          <w:bCs/>
        </w:rPr>
        <w:t xml:space="preserve">Supplementary </w:t>
      </w:r>
      <w:r>
        <w:rPr>
          <w:b/>
          <w:bCs/>
        </w:rPr>
        <w:t xml:space="preserve">file </w:t>
      </w:r>
      <w:r w:rsidR="00EA1D35">
        <w:rPr>
          <w:b/>
          <w:bCs/>
        </w:rPr>
        <w:t>1b</w:t>
      </w:r>
      <w:r w:rsidR="009276F4" w:rsidRPr="005B04BC">
        <w:rPr>
          <w:b/>
          <w:bCs/>
        </w:rPr>
        <w:t xml:space="preserve">. </w:t>
      </w:r>
      <w:r w:rsidR="009276F4">
        <w:t>Model comparison for the two different datasets, corresponding to two different seropositivity cut-offs. For each model comparison, the first row corresponds to the model with the largest expected log pointwise density (ELPD), which measures the model expected predictive accuracy. For each model, its log-</w:t>
      </w:r>
      <w:proofErr w:type="gramStart"/>
      <w:r w:rsidR="009276F4">
        <w:t>likelihood</w:t>
      </w:r>
      <w:proofErr w:type="gramEnd"/>
      <w:r w:rsidR="009276F4">
        <w:t xml:space="preserve"> and the difference in the Bayesian leave-one-out (LOO) estimate of the ELPD compared to the best model are shown. </w:t>
      </w:r>
    </w:p>
    <w:p w14:paraId="71237295" w14:textId="77777777" w:rsidR="009276F4" w:rsidRDefault="009276F4" w:rsidP="009276F4"/>
    <w:tbl>
      <w:tblPr>
        <w:tblStyle w:val="PlainTable2"/>
        <w:tblW w:w="5321" w:type="dxa"/>
        <w:tblLook w:val="04A0" w:firstRow="1" w:lastRow="0" w:firstColumn="1" w:lastColumn="0" w:noHBand="0" w:noVBand="1"/>
      </w:tblPr>
      <w:tblGrid>
        <w:gridCol w:w="1828"/>
        <w:gridCol w:w="976"/>
        <w:gridCol w:w="1165"/>
        <w:gridCol w:w="65"/>
        <w:gridCol w:w="2273"/>
        <w:gridCol w:w="8"/>
      </w:tblGrid>
      <w:tr w:rsidR="009276F4" w:rsidRPr="003C11C8" w14:paraId="2E70AB83" w14:textId="77777777" w:rsidTr="00E30094">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04" w:type="dxa"/>
            <w:gridSpan w:val="2"/>
            <w:noWrap/>
            <w:hideMark/>
          </w:tcPr>
          <w:p w14:paraId="77EFC0BA" w14:textId="77777777" w:rsidR="009276F4" w:rsidRPr="00E30094" w:rsidRDefault="009276F4" w:rsidP="00E30094">
            <w:pPr>
              <w:jc w:val="center"/>
              <w:rPr>
                <w:color w:val="000000"/>
              </w:rPr>
            </w:pPr>
          </w:p>
        </w:tc>
        <w:tc>
          <w:tcPr>
            <w:tcW w:w="236" w:type="dxa"/>
            <w:gridSpan w:val="2"/>
            <w:noWrap/>
            <w:hideMark/>
          </w:tcPr>
          <w:p w14:paraId="43C1907D" w14:textId="77777777" w:rsidR="009276F4" w:rsidRPr="00E30094" w:rsidRDefault="009276F4" w:rsidP="00E30094">
            <w:pPr>
              <w:jc w:val="right"/>
              <w:cnfStyle w:val="100000000000" w:firstRow="1" w:lastRow="0" w:firstColumn="0" w:lastColumn="0" w:oddVBand="0" w:evenVBand="0" w:oddHBand="0" w:evenHBand="0" w:firstRowFirstColumn="0" w:firstRowLastColumn="0" w:lastRowFirstColumn="0" w:lastRowLastColumn="0"/>
              <w:rPr>
                <w:color w:val="000000"/>
              </w:rPr>
            </w:pPr>
            <w:r w:rsidRPr="00E30094">
              <w:rPr>
                <w:color w:val="000000"/>
              </w:rPr>
              <w:t>log-likelihood</w:t>
            </w:r>
          </w:p>
        </w:tc>
        <w:tc>
          <w:tcPr>
            <w:tcW w:w="2281" w:type="dxa"/>
            <w:gridSpan w:val="2"/>
            <w:noWrap/>
            <w:hideMark/>
          </w:tcPr>
          <w:p w14:paraId="73D0DB0E" w14:textId="77777777" w:rsidR="009276F4" w:rsidRPr="00E30094" w:rsidRDefault="009276F4" w:rsidP="00E30094">
            <w:pPr>
              <w:jc w:val="right"/>
              <w:cnfStyle w:val="100000000000" w:firstRow="1" w:lastRow="0" w:firstColumn="0" w:lastColumn="0" w:oddVBand="0" w:evenVBand="0" w:oddHBand="0" w:evenHBand="0" w:firstRowFirstColumn="0" w:firstRowLastColumn="0" w:lastRowFirstColumn="0" w:lastRowLastColumn="0"/>
              <w:rPr>
                <w:color w:val="000000"/>
              </w:rPr>
            </w:pPr>
            <w:r w:rsidRPr="00E30094">
              <w:rPr>
                <w:color w:val="000000"/>
              </w:rPr>
              <w:sym w:font="Symbol" w:char="F044"/>
            </w:r>
            <w:r w:rsidRPr="00E30094">
              <w:rPr>
                <w:color w:val="000000"/>
              </w:rPr>
              <w:t>LOO</w:t>
            </w:r>
          </w:p>
        </w:tc>
      </w:tr>
      <w:tr w:rsidR="009276F4" w:rsidRPr="003C11C8" w14:paraId="7F96DA03" w14:textId="77777777" w:rsidTr="00E30094">
        <w:trPr>
          <w:gridAfter w:val="1"/>
          <w:cnfStyle w:val="000000100000" w:firstRow="0" w:lastRow="0" w:firstColumn="0" w:lastColumn="0" w:oddVBand="0" w:evenVBand="0" w:oddHBand="1" w:evenHBand="0" w:firstRowFirstColumn="0" w:firstRowLastColumn="0" w:lastRowFirstColumn="0" w:lastRowLastColumn="0"/>
          <w:wAfter w:w="8" w:type="dxa"/>
          <w:trHeight w:val="320"/>
        </w:trPr>
        <w:tc>
          <w:tcPr>
            <w:cnfStyle w:val="001000000000" w:firstRow="0" w:lastRow="0" w:firstColumn="1" w:lastColumn="0" w:oddVBand="0" w:evenVBand="0" w:oddHBand="0" w:evenHBand="0" w:firstRowFirstColumn="0" w:firstRowLastColumn="0" w:lastRowFirstColumn="0" w:lastRowLastColumn="0"/>
            <w:tcW w:w="5313" w:type="dxa"/>
            <w:gridSpan w:val="5"/>
            <w:noWrap/>
            <w:hideMark/>
          </w:tcPr>
          <w:p w14:paraId="33708B25" w14:textId="77777777" w:rsidR="009276F4" w:rsidRPr="003C11C8" w:rsidRDefault="009276F4" w:rsidP="00E30094">
            <w:pPr>
              <w:rPr>
                <w:i/>
                <w:iCs/>
                <w:sz w:val="20"/>
                <w:szCs w:val="20"/>
              </w:rPr>
            </w:pPr>
            <w:r>
              <w:rPr>
                <w:i/>
                <w:iCs/>
                <w:color w:val="000000"/>
              </w:rPr>
              <w:t>C</w:t>
            </w:r>
            <w:r w:rsidRPr="00E30094">
              <w:rPr>
                <w:i/>
                <w:iCs/>
                <w:color w:val="000000"/>
              </w:rPr>
              <w:t>ut-off 1:16</w:t>
            </w:r>
          </w:p>
        </w:tc>
      </w:tr>
      <w:tr w:rsidR="009276F4" w:rsidRPr="003C11C8" w14:paraId="4F90CDD1" w14:textId="77777777" w:rsidTr="00E30094">
        <w:trPr>
          <w:gridAfter w:val="1"/>
          <w:wAfter w:w="8" w:type="dxa"/>
          <w:trHeight w:val="320"/>
        </w:trPr>
        <w:tc>
          <w:tcPr>
            <w:cnfStyle w:val="001000000000" w:firstRow="0" w:lastRow="0" w:firstColumn="1" w:lastColumn="0" w:oddVBand="0" w:evenVBand="0" w:oddHBand="0" w:evenHBand="0" w:firstRowFirstColumn="0" w:firstRowLastColumn="0" w:lastRowFirstColumn="0" w:lastRowLastColumn="0"/>
            <w:tcW w:w="1828" w:type="dxa"/>
            <w:noWrap/>
            <w:hideMark/>
          </w:tcPr>
          <w:p w14:paraId="5936A18B" w14:textId="77777777" w:rsidR="009276F4" w:rsidRPr="00E30094" w:rsidRDefault="009276F4" w:rsidP="00E30094">
            <w:pPr>
              <w:jc w:val="center"/>
              <w:rPr>
                <w:color w:val="000000"/>
              </w:rPr>
            </w:pPr>
            <w:r w:rsidRPr="00E30094">
              <w:rPr>
                <w:color w:val="000000"/>
              </w:rPr>
              <w:t>Model 2</w:t>
            </w:r>
          </w:p>
        </w:tc>
        <w:tc>
          <w:tcPr>
            <w:tcW w:w="1204" w:type="dxa"/>
            <w:gridSpan w:val="2"/>
            <w:noWrap/>
            <w:hideMark/>
          </w:tcPr>
          <w:p w14:paraId="1FE04676" w14:textId="77777777" w:rsidR="009276F4" w:rsidRPr="00E30094" w:rsidRDefault="009276F4" w:rsidP="00E30094">
            <w:pPr>
              <w:jc w:val="right"/>
              <w:cnfStyle w:val="000000000000" w:firstRow="0" w:lastRow="0" w:firstColumn="0" w:lastColumn="0" w:oddVBand="0" w:evenVBand="0" w:oddHBand="0" w:evenHBand="0" w:firstRowFirstColumn="0" w:firstRowLastColumn="0" w:lastRowFirstColumn="0" w:lastRowLastColumn="0"/>
              <w:rPr>
                <w:color w:val="000000"/>
              </w:rPr>
            </w:pPr>
            <w:r w:rsidRPr="00E30094">
              <w:rPr>
                <w:color w:val="000000"/>
              </w:rPr>
              <w:t>-130.93</w:t>
            </w:r>
          </w:p>
        </w:tc>
        <w:tc>
          <w:tcPr>
            <w:tcW w:w="2281" w:type="dxa"/>
            <w:gridSpan w:val="2"/>
            <w:noWrap/>
            <w:hideMark/>
          </w:tcPr>
          <w:p w14:paraId="79FBE518" w14:textId="77777777" w:rsidR="009276F4" w:rsidRPr="00E30094" w:rsidRDefault="009276F4" w:rsidP="00E30094">
            <w:pPr>
              <w:jc w:val="right"/>
              <w:cnfStyle w:val="000000000000" w:firstRow="0" w:lastRow="0" w:firstColumn="0" w:lastColumn="0" w:oddVBand="0" w:evenVBand="0" w:oddHBand="0" w:evenHBand="0" w:firstRowFirstColumn="0" w:firstRowLastColumn="0" w:lastRowFirstColumn="0" w:lastRowLastColumn="0"/>
              <w:rPr>
                <w:color w:val="000000"/>
              </w:rPr>
            </w:pPr>
            <w:r w:rsidRPr="00E30094">
              <w:rPr>
                <w:color w:val="000000"/>
              </w:rPr>
              <w:t>0.00</w:t>
            </w:r>
          </w:p>
        </w:tc>
      </w:tr>
      <w:tr w:rsidR="009276F4" w:rsidRPr="003C11C8" w14:paraId="063F373A" w14:textId="77777777" w:rsidTr="00E30094">
        <w:trPr>
          <w:gridAfter w:val="1"/>
          <w:cnfStyle w:val="000000100000" w:firstRow="0" w:lastRow="0" w:firstColumn="0" w:lastColumn="0" w:oddVBand="0" w:evenVBand="0" w:oddHBand="1" w:evenHBand="0" w:firstRowFirstColumn="0" w:firstRowLastColumn="0" w:lastRowFirstColumn="0" w:lastRowLastColumn="0"/>
          <w:wAfter w:w="8" w:type="dxa"/>
          <w:trHeight w:val="320"/>
        </w:trPr>
        <w:tc>
          <w:tcPr>
            <w:cnfStyle w:val="001000000000" w:firstRow="0" w:lastRow="0" w:firstColumn="1" w:lastColumn="0" w:oddVBand="0" w:evenVBand="0" w:oddHBand="0" w:evenHBand="0" w:firstRowFirstColumn="0" w:firstRowLastColumn="0" w:lastRowFirstColumn="0" w:lastRowLastColumn="0"/>
            <w:tcW w:w="1828" w:type="dxa"/>
            <w:noWrap/>
            <w:hideMark/>
          </w:tcPr>
          <w:p w14:paraId="0134ADC3" w14:textId="77777777" w:rsidR="009276F4" w:rsidRPr="00E30094" w:rsidRDefault="009276F4" w:rsidP="00E30094">
            <w:pPr>
              <w:jc w:val="center"/>
              <w:rPr>
                <w:color w:val="000000"/>
              </w:rPr>
            </w:pPr>
            <w:r w:rsidRPr="00E30094">
              <w:rPr>
                <w:color w:val="000000"/>
              </w:rPr>
              <w:t>Model 1</w:t>
            </w:r>
          </w:p>
        </w:tc>
        <w:tc>
          <w:tcPr>
            <w:tcW w:w="1204" w:type="dxa"/>
            <w:gridSpan w:val="2"/>
            <w:noWrap/>
            <w:hideMark/>
          </w:tcPr>
          <w:p w14:paraId="5CFAB55B" w14:textId="77777777" w:rsidR="009276F4" w:rsidRPr="00E30094" w:rsidRDefault="009276F4" w:rsidP="00E30094">
            <w:pPr>
              <w:jc w:val="right"/>
              <w:cnfStyle w:val="000000100000" w:firstRow="0" w:lastRow="0" w:firstColumn="0" w:lastColumn="0" w:oddVBand="0" w:evenVBand="0" w:oddHBand="1" w:evenHBand="0" w:firstRowFirstColumn="0" w:firstRowLastColumn="0" w:lastRowFirstColumn="0" w:lastRowLastColumn="0"/>
              <w:rPr>
                <w:color w:val="000000"/>
              </w:rPr>
            </w:pPr>
            <w:r w:rsidRPr="00E30094">
              <w:rPr>
                <w:color w:val="000000"/>
              </w:rPr>
              <w:t>-154.29</w:t>
            </w:r>
          </w:p>
        </w:tc>
        <w:tc>
          <w:tcPr>
            <w:tcW w:w="2281" w:type="dxa"/>
            <w:gridSpan w:val="2"/>
            <w:noWrap/>
            <w:hideMark/>
          </w:tcPr>
          <w:p w14:paraId="190C41A6" w14:textId="77777777" w:rsidR="009276F4" w:rsidRPr="00E30094" w:rsidRDefault="009276F4" w:rsidP="00E30094">
            <w:pPr>
              <w:jc w:val="right"/>
              <w:cnfStyle w:val="000000100000" w:firstRow="0" w:lastRow="0" w:firstColumn="0" w:lastColumn="0" w:oddVBand="0" w:evenVBand="0" w:oddHBand="1" w:evenHBand="0" w:firstRowFirstColumn="0" w:firstRowLastColumn="0" w:lastRowFirstColumn="0" w:lastRowLastColumn="0"/>
              <w:rPr>
                <w:color w:val="000000"/>
              </w:rPr>
            </w:pPr>
            <w:r w:rsidRPr="00E30094">
              <w:rPr>
                <w:color w:val="000000"/>
              </w:rPr>
              <w:t>-</w:t>
            </w:r>
            <w:r>
              <w:rPr>
                <w:color w:val="000000"/>
              </w:rPr>
              <w:t>21</w:t>
            </w:r>
            <w:r w:rsidRPr="00E30094">
              <w:rPr>
                <w:color w:val="000000"/>
              </w:rPr>
              <w:t>.</w:t>
            </w:r>
            <w:r>
              <w:rPr>
                <w:color w:val="000000"/>
              </w:rPr>
              <w:t>77</w:t>
            </w:r>
          </w:p>
        </w:tc>
      </w:tr>
      <w:tr w:rsidR="009276F4" w:rsidRPr="003C11C8" w14:paraId="3D551481" w14:textId="77777777" w:rsidTr="00E30094">
        <w:trPr>
          <w:gridAfter w:val="1"/>
          <w:wAfter w:w="8" w:type="dxa"/>
          <w:trHeight w:val="320"/>
        </w:trPr>
        <w:tc>
          <w:tcPr>
            <w:cnfStyle w:val="001000000000" w:firstRow="0" w:lastRow="0" w:firstColumn="1" w:lastColumn="0" w:oddVBand="0" w:evenVBand="0" w:oddHBand="0" w:evenHBand="0" w:firstRowFirstColumn="0" w:firstRowLastColumn="0" w:lastRowFirstColumn="0" w:lastRowLastColumn="0"/>
            <w:tcW w:w="5313" w:type="dxa"/>
            <w:gridSpan w:val="5"/>
            <w:noWrap/>
            <w:hideMark/>
          </w:tcPr>
          <w:p w14:paraId="42366F35" w14:textId="77777777" w:rsidR="009276F4" w:rsidRPr="003C11C8" w:rsidRDefault="009276F4" w:rsidP="00E30094">
            <w:pPr>
              <w:rPr>
                <w:i/>
                <w:iCs/>
                <w:sz w:val="20"/>
                <w:szCs w:val="20"/>
              </w:rPr>
            </w:pPr>
            <w:r>
              <w:rPr>
                <w:i/>
                <w:iCs/>
                <w:color w:val="000000"/>
              </w:rPr>
              <w:t>C</w:t>
            </w:r>
            <w:r w:rsidRPr="00E30094">
              <w:rPr>
                <w:i/>
                <w:iCs/>
                <w:color w:val="000000"/>
              </w:rPr>
              <w:t>ut-off 1:64</w:t>
            </w:r>
          </w:p>
        </w:tc>
      </w:tr>
      <w:tr w:rsidR="009276F4" w:rsidRPr="003C11C8" w14:paraId="3081D910" w14:textId="77777777" w:rsidTr="00E30094">
        <w:trPr>
          <w:gridAfter w:val="1"/>
          <w:cnfStyle w:val="000000100000" w:firstRow="0" w:lastRow="0" w:firstColumn="0" w:lastColumn="0" w:oddVBand="0" w:evenVBand="0" w:oddHBand="1" w:evenHBand="0" w:firstRowFirstColumn="0" w:firstRowLastColumn="0" w:lastRowFirstColumn="0" w:lastRowLastColumn="0"/>
          <w:wAfter w:w="8" w:type="dxa"/>
          <w:trHeight w:val="320"/>
        </w:trPr>
        <w:tc>
          <w:tcPr>
            <w:cnfStyle w:val="001000000000" w:firstRow="0" w:lastRow="0" w:firstColumn="1" w:lastColumn="0" w:oddVBand="0" w:evenVBand="0" w:oddHBand="0" w:evenHBand="0" w:firstRowFirstColumn="0" w:firstRowLastColumn="0" w:lastRowFirstColumn="0" w:lastRowLastColumn="0"/>
            <w:tcW w:w="1828" w:type="dxa"/>
            <w:noWrap/>
            <w:hideMark/>
          </w:tcPr>
          <w:p w14:paraId="040060F3" w14:textId="77777777" w:rsidR="009276F4" w:rsidRPr="00E30094" w:rsidRDefault="009276F4" w:rsidP="00E30094">
            <w:pPr>
              <w:jc w:val="center"/>
              <w:rPr>
                <w:color w:val="000000"/>
              </w:rPr>
            </w:pPr>
            <w:r w:rsidRPr="00E30094">
              <w:rPr>
                <w:color w:val="000000"/>
              </w:rPr>
              <w:t>Model 2</w:t>
            </w:r>
          </w:p>
        </w:tc>
        <w:tc>
          <w:tcPr>
            <w:tcW w:w="1204" w:type="dxa"/>
            <w:gridSpan w:val="2"/>
            <w:noWrap/>
            <w:hideMark/>
          </w:tcPr>
          <w:p w14:paraId="1D93F3B7" w14:textId="77777777" w:rsidR="009276F4" w:rsidRPr="00E30094" w:rsidRDefault="009276F4" w:rsidP="00E30094">
            <w:pPr>
              <w:jc w:val="right"/>
              <w:cnfStyle w:val="000000100000" w:firstRow="0" w:lastRow="0" w:firstColumn="0" w:lastColumn="0" w:oddVBand="0" w:evenVBand="0" w:oddHBand="1" w:evenHBand="0" w:firstRowFirstColumn="0" w:firstRowLastColumn="0" w:lastRowFirstColumn="0" w:lastRowLastColumn="0"/>
              <w:rPr>
                <w:color w:val="000000"/>
              </w:rPr>
            </w:pPr>
            <w:r w:rsidRPr="003910F9">
              <w:rPr>
                <w:color w:val="000000"/>
              </w:rPr>
              <w:t>-204.66</w:t>
            </w:r>
          </w:p>
        </w:tc>
        <w:tc>
          <w:tcPr>
            <w:tcW w:w="2281" w:type="dxa"/>
            <w:gridSpan w:val="2"/>
            <w:noWrap/>
            <w:hideMark/>
          </w:tcPr>
          <w:p w14:paraId="4FF9781D" w14:textId="77777777" w:rsidR="009276F4" w:rsidRPr="00E30094" w:rsidRDefault="009276F4" w:rsidP="00E30094">
            <w:pPr>
              <w:jc w:val="right"/>
              <w:cnfStyle w:val="000000100000" w:firstRow="0" w:lastRow="0" w:firstColumn="0" w:lastColumn="0" w:oddVBand="0" w:evenVBand="0" w:oddHBand="1" w:evenHBand="0" w:firstRowFirstColumn="0" w:firstRowLastColumn="0" w:lastRowFirstColumn="0" w:lastRowLastColumn="0"/>
              <w:rPr>
                <w:color w:val="000000"/>
              </w:rPr>
            </w:pPr>
            <w:r w:rsidRPr="00E30094">
              <w:rPr>
                <w:color w:val="000000"/>
              </w:rPr>
              <w:t>0.00</w:t>
            </w:r>
          </w:p>
        </w:tc>
      </w:tr>
      <w:tr w:rsidR="009276F4" w:rsidRPr="003C11C8" w14:paraId="01DC16E7" w14:textId="77777777" w:rsidTr="00E30094">
        <w:trPr>
          <w:gridAfter w:val="1"/>
          <w:wAfter w:w="8" w:type="dxa"/>
          <w:trHeight w:val="320"/>
        </w:trPr>
        <w:tc>
          <w:tcPr>
            <w:cnfStyle w:val="001000000000" w:firstRow="0" w:lastRow="0" w:firstColumn="1" w:lastColumn="0" w:oddVBand="0" w:evenVBand="0" w:oddHBand="0" w:evenHBand="0" w:firstRowFirstColumn="0" w:firstRowLastColumn="0" w:lastRowFirstColumn="0" w:lastRowLastColumn="0"/>
            <w:tcW w:w="1828" w:type="dxa"/>
            <w:noWrap/>
          </w:tcPr>
          <w:p w14:paraId="0070FD34" w14:textId="77777777" w:rsidR="009276F4" w:rsidRPr="00E30094" w:rsidRDefault="009276F4" w:rsidP="00E30094">
            <w:pPr>
              <w:jc w:val="center"/>
              <w:rPr>
                <w:color w:val="000000"/>
              </w:rPr>
            </w:pPr>
            <w:r w:rsidRPr="00E30094">
              <w:rPr>
                <w:color w:val="000000"/>
              </w:rPr>
              <w:t>Model 1</w:t>
            </w:r>
          </w:p>
        </w:tc>
        <w:tc>
          <w:tcPr>
            <w:tcW w:w="1204" w:type="dxa"/>
            <w:gridSpan w:val="2"/>
            <w:noWrap/>
          </w:tcPr>
          <w:p w14:paraId="09AE64D3" w14:textId="77777777" w:rsidR="009276F4" w:rsidRPr="00E30094" w:rsidRDefault="009276F4" w:rsidP="00E30094">
            <w:pPr>
              <w:jc w:val="right"/>
              <w:cnfStyle w:val="000000000000" w:firstRow="0" w:lastRow="0" w:firstColumn="0" w:lastColumn="0" w:oddVBand="0" w:evenVBand="0" w:oddHBand="0" w:evenHBand="0" w:firstRowFirstColumn="0" w:firstRowLastColumn="0" w:lastRowFirstColumn="0" w:lastRowLastColumn="0"/>
              <w:rPr>
                <w:color w:val="000000"/>
              </w:rPr>
            </w:pPr>
            <w:r w:rsidRPr="003910F9">
              <w:rPr>
                <w:color w:val="000000"/>
              </w:rPr>
              <w:t>-258.20</w:t>
            </w:r>
          </w:p>
        </w:tc>
        <w:tc>
          <w:tcPr>
            <w:tcW w:w="2281" w:type="dxa"/>
            <w:gridSpan w:val="2"/>
            <w:noWrap/>
          </w:tcPr>
          <w:p w14:paraId="025E9739" w14:textId="77777777" w:rsidR="009276F4" w:rsidRPr="00E30094" w:rsidRDefault="009276F4" w:rsidP="00E30094">
            <w:pPr>
              <w:jc w:val="right"/>
              <w:cnfStyle w:val="000000000000" w:firstRow="0" w:lastRow="0" w:firstColumn="0" w:lastColumn="0" w:oddVBand="0" w:evenVBand="0" w:oddHBand="0" w:evenHBand="0" w:firstRowFirstColumn="0" w:firstRowLastColumn="0" w:lastRowFirstColumn="0" w:lastRowLastColumn="0"/>
              <w:rPr>
                <w:color w:val="000000"/>
              </w:rPr>
            </w:pPr>
            <w:r w:rsidRPr="00E30094">
              <w:rPr>
                <w:color w:val="000000"/>
              </w:rPr>
              <w:t>-</w:t>
            </w:r>
            <w:r>
              <w:rPr>
                <w:color w:val="000000"/>
              </w:rPr>
              <w:t>53</w:t>
            </w:r>
            <w:r w:rsidRPr="00E30094">
              <w:rPr>
                <w:color w:val="000000"/>
              </w:rPr>
              <w:t>.</w:t>
            </w:r>
            <w:r>
              <w:rPr>
                <w:color w:val="000000"/>
              </w:rPr>
              <w:t>10</w:t>
            </w:r>
          </w:p>
        </w:tc>
      </w:tr>
    </w:tbl>
    <w:p w14:paraId="736745B1" w14:textId="77777777" w:rsidR="009276F4" w:rsidRPr="00102C5D" w:rsidRDefault="009276F4" w:rsidP="009276F4">
      <w:pPr>
        <w:rPr>
          <w:b/>
          <w:bCs/>
        </w:rPr>
      </w:pPr>
    </w:p>
    <w:p w14:paraId="5BE97F1C" w14:textId="77777777" w:rsidR="009276F4" w:rsidRDefault="009276F4" w:rsidP="009276F4">
      <w:pPr>
        <w:rPr>
          <w:b/>
          <w:bCs/>
        </w:rPr>
      </w:pPr>
    </w:p>
    <w:p w14:paraId="27BE2DAA" w14:textId="597EEAF6" w:rsidR="009276F4" w:rsidRDefault="00BD2AE0" w:rsidP="009276F4">
      <w:r w:rsidRPr="006A75B6">
        <w:rPr>
          <w:b/>
          <w:bCs/>
        </w:rPr>
        <w:t xml:space="preserve">Supplementary </w:t>
      </w:r>
      <w:r>
        <w:rPr>
          <w:b/>
          <w:bCs/>
        </w:rPr>
        <w:t xml:space="preserve">file </w:t>
      </w:r>
      <w:r w:rsidR="00EA1D35">
        <w:rPr>
          <w:b/>
          <w:bCs/>
        </w:rPr>
        <w:t>1c</w:t>
      </w:r>
      <w:r w:rsidR="009276F4" w:rsidRPr="00F658BF">
        <w:rPr>
          <w:b/>
          <w:bCs/>
        </w:rPr>
        <w:t>.</w:t>
      </w:r>
      <w:r w:rsidR="009276F4">
        <w:t xml:space="preserve"> Model parameter estimates. Median and 95% credible intervals are presented.</w:t>
      </w:r>
    </w:p>
    <w:p w14:paraId="45EA9A17" w14:textId="77777777" w:rsidR="009276F4" w:rsidRDefault="009276F4" w:rsidP="009276F4">
      <w:pPr>
        <w:rPr>
          <w:b/>
          <w:bCs/>
        </w:rPr>
      </w:pPr>
    </w:p>
    <w:tbl>
      <w:tblPr>
        <w:tblStyle w:val="PlainTable2"/>
        <w:tblW w:w="7075" w:type="dxa"/>
        <w:tblLook w:val="04A0" w:firstRow="1" w:lastRow="0" w:firstColumn="1" w:lastColumn="0" w:noHBand="0" w:noVBand="1"/>
      </w:tblPr>
      <w:tblGrid>
        <w:gridCol w:w="1791"/>
        <w:gridCol w:w="2926"/>
        <w:gridCol w:w="2358"/>
      </w:tblGrid>
      <w:tr w:rsidR="009276F4" w:rsidRPr="00DF4F0C" w14:paraId="72CCFA77" w14:textId="77777777" w:rsidTr="00E30094">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791" w:type="dxa"/>
            <w:noWrap/>
            <w:hideMark/>
          </w:tcPr>
          <w:p w14:paraId="54263B32" w14:textId="77777777" w:rsidR="009276F4" w:rsidRPr="00E30094" w:rsidRDefault="009276F4" w:rsidP="00E30094">
            <w:pPr>
              <w:rPr>
                <w:color w:val="000000"/>
              </w:rPr>
            </w:pPr>
          </w:p>
        </w:tc>
        <w:tc>
          <w:tcPr>
            <w:tcW w:w="2926" w:type="dxa"/>
            <w:noWrap/>
            <w:hideMark/>
          </w:tcPr>
          <w:p w14:paraId="59B9DB02" w14:textId="77777777" w:rsidR="009276F4" w:rsidRPr="00E30094" w:rsidRDefault="009276F4" w:rsidP="00E30094">
            <w:pPr>
              <w:jc w:val="right"/>
              <w:cnfStyle w:val="100000000000" w:firstRow="1" w:lastRow="0" w:firstColumn="0" w:lastColumn="0" w:oddVBand="0" w:evenVBand="0" w:oddHBand="0" w:evenHBand="0" w:firstRowFirstColumn="0" w:firstRowLastColumn="0" w:lastRowFirstColumn="0" w:lastRowLastColumn="0"/>
              <w:rPr>
                <w:color w:val="000000"/>
              </w:rPr>
            </w:pPr>
            <w:r w:rsidRPr="00E30094">
              <w:rPr>
                <w:color w:val="000000"/>
              </w:rPr>
              <w:t>Cut-off 1:16</w:t>
            </w:r>
          </w:p>
        </w:tc>
        <w:tc>
          <w:tcPr>
            <w:tcW w:w="2358" w:type="dxa"/>
            <w:noWrap/>
            <w:hideMark/>
          </w:tcPr>
          <w:p w14:paraId="4A13C081" w14:textId="77777777" w:rsidR="009276F4" w:rsidRPr="00E30094" w:rsidRDefault="009276F4" w:rsidP="00E30094">
            <w:pPr>
              <w:jc w:val="right"/>
              <w:cnfStyle w:val="100000000000" w:firstRow="1" w:lastRow="0" w:firstColumn="0" w:lastColumn="0" w:oddVBand="0" w:evenVBand="0" w:oddHBand="0" w:evenHBand="0" w:firstRowFirstColumn="0" w:firstRowLastColumn="0" w:lastRowFirstColumn="0" w:lastRowLastColumn="0"/>
              <w:rPr>
                <w:color w:val="000000"/>
              </w:rPr>
            </w:pPr>
            <w:r w:rsidRPr="00E30094">
              <w:rPr>
                <w:color w:val="000000"/>
              </w:rPr>
              <w:t>Cut-off 1:64</w:t>
            </w:r>
          </w:p>
        </w:tc>
      </w:tr>
      <w:tr w:rsidR="009276F4" w:rsidRPr="008743B7" w14:paraId="0271CD1D" w14:textId="77777777" w:rsidTr="00E30094">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7075" w:type="dxa"/>
            <w:gridSpan w:val="3"/>
            <w:noWrap/>
          </w:tcPr>
          <w:p w14:paraId="3CB18CC2" w14:textId="77777777" w:rsidR="009276F4" w:rsidRPr="00E30094" w:rsidRDefault="009276F4" w:rsidP="00E30094">
            <w:pPr>
              <w:rPr>
                <w:i/>
                <w:iCs/>
                <w:color w:val="000000"/>
              </w:rPr>
            </w:pPr>
            <w:r w:rsidRPr="00E30094">
              <w:rPr>
                <w:i/>
                <w:iCs/>
                <w:color w:val="000000"/>
              </w:rPr>
              <w:t>Model 1</w:t>
            </w:r>
          </w:p>
        </w:tc>
      </w:tr>
      <w:tr w:rsidR="009276F4" w:rsidRPr="00DF4F0C" w14:paraId="5D19BFBD" w14:textId="77777777" w:rsidTr="00E30094">
        <w:trPr>
          <w:trHeight w:val="328"/>
        </w:trPr>
        <w:tc>
          <w:tcPr>
            <w:cnfStyle w:val="001000000000" w:firstRow="0" w:lastRow="0" w:firstColumn="1" w:lastColumn="0" w:oddVBand="0" w:evenVBand="0" w:oddHBand="0" w:evenHBand="0" w:firstRowFirstColumn="0" w:firstRowLastColumn="0" w:lastRowFirstColumn="0" w:lastRowLastColumn="0"/>
            <w:tcW w:w="1791" w:type="dxa"/>
            <w:noWrap/>
            <w:hideMark/>
          </w:tcPr>
          <w:p w14:paraId="62D694D2" w14:textId="77777777" w:rsidR="009276F4" w:rsidRPr="00E30094" w:rsidRDefault="009276F4" w:rsidP="00E30094">
            <w:pPr>
              <w:jc w:val="right"/>
              <w:rPr>
                <w:b w:val="0"/>
                <w:bCs w:val="0"/>
                <w:color w:val="000000"/>
              </w:rPr>
            </w:pPr>
            <m:oMathPara>
              <m:oMath>
                <m:r>
                  <m:rPr>
                    <m:sty m:val="bi"/>
                  </m:rPr>
                  <w:rPr>
                    <w:rFonts w:ascii="Cambria Math" w:hAnsi="Cambria Math"/>
                    <w:color w:val="000000"/>
                  </w:rPr>
                  <m:t>ω</m:t>
                </m:r>
              </m:oMath>
            </m:oMathPara>
          </w:p>
        </w:tc>
        <w:tc>
          <w:tcPr>
            <w:tcW w:w="2926" w:type="dxa"/>
            <w:noWrap/>
            <w:hideMark/>
          </w:tcPr>
          <w:p w14:paraId="5D181A7A" w14:textId="77777777" w:rsidR="009276F4" w:rsidRPr="00E30094" w:rsidRDefault="009276F4" w:rsidP="00E30094">
            <w:pPr>
              <w:jc w:val="right"/>
              <w:cnfStyle w:val="000000000000" w:firstRow="0" w:lastRow="0" w:firstColumn="0" w:lastColumn="0" w:oddVBand="0" w:evenVBand="0" w:oddHBand="0" w:evenHBand="0" w:firstRowFirstColumn="0" w:firstRowLastColumn="0" w:lastRowFirstColumn="0" w:lastRowLastColumn="0"/>
              <w:rPr>
                <w:color w:val="000000"/>
              </w:rPr>
            </w:pPr>
            <w:r w:rsidRPr="00E30094">
              <w:rPr>
                <w:color w:val="000000"/>
              </w:rPr>
              <w:t>0.227 (0.181-0.282)</w:t>
            </w:r>
          </w:p>
        </w:tc>
        <w:tc>
          <w:tcPr>
            <w:tcW w:w="2358" w:type="dxa"/>
            <w:noWrap/>
            <w:hideMark/>
          </w:tcPr>
          <w:p w14:paraId="00BC912B" w14:textId="77777777" w:rsidR="009276F4" w:rsidRPr="00E30094" w:rsidRDefault="009276F4" w:rsidP="00E30094">
            <w:pPr>
              <w:jc w:val="right"/>
              <w:cnfStyle w:val="000000000000" w:firstRow="0" w:lastRow="0" w:firstColumn="0" w:lastColumn="0" w:oddVBand="0" w:evenVBand="0" w:oddHBand="0" w:evenHBand="0" w:firstRowFirstColumn="0" w:firstRowLastColumn="0" w:lastRowFirstColumn="0" w:lastRowLastColumn="0"/>
              <w:rPr>
                <w:color w:val="000000"/>
              </w:rPr>
            </w:pPr>
            <w:r w:rsidRPr="00E30094">
              <w:rPr>
                <w:color w:val="000000"/>
              </w:rPr>
              <w:t>1.911 (1.320-2.778)</w:t>
            </w:r>
          </w:p>
        </w:tc>
      </w:tr>
      <w:tr w:rsidR="009276F4" w:rsidRPr="00DF4F0C" w14:paraId="3DB80FFA" w14:textId="77777777" w:rsidTr="00E30094">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791" w:type="dxa"/>
            <w:noWrap/>
            <w:hideMark/>
          </w:tcPr>
          <w:p w14:paraId="3FDD9A71" w14:textId="77777777" w:rsidR="009276F4" w:rsidRPr="00E30094" w:rsidRDefault="009276F4" w:rsidP="00E30094">
            <w:pPr>
              <w:jc w:val="right"/>
              <w:rPr>
                <w:b w:val="0"/>
                <w:bCs w:val="0"/>
                <w:color w:val="000000"/>
              </w:rPr>
            </w:pPr>
            <m:oMathPara>
              <m:oMath>
                <m:r>
                  <m:rPr>
                    <m:sty m:val="bi"/>
                  </m:rPr>
                  <w:rPr>
                    <w:rFonts w:ascii="Cambria Math" w:hAnsi="Cambria Math"/>
                    <w:color w:val="000000"/>
                  </w:rPr>
                  <m:t>λ</m:t>
                </m:r>
              </m:oMath>
            </m:oMathPara>
          </w:p>
        </w:tc>
        <w:tc>
          <w:tcPr>
            <w:tcW w:w="2926" w:type="dxa"/>
            <w:noWrap/>
            <w:hideMark/>
          </w:tcPr>
          <w:p w14:paraId="337AABC1" w14:textId="77777777" w:rsidR="009276F4" w:rsidRPr="00E30094" w:rsidRDefault="009276F4" w:rsidP="00E30094">
            <w:pPr>
              <w:jc w:val="right"/>
              <w:cnfStyle w:val="000000100000" w:firstRow="0" w:lastRow="0" w:firstColumn="0" w:lastColumn="0" w:oddVBand="0" w:evenVBand="0" w:oddHBand="1" w:evenHBand="0" w:firstRowFirstColumn="0" w:firstRowLastColumn="0" w:lastRowFirstColumn="0" w:lastRowLastColumn="0"/>
              <w:rPr>
                <w:color w:val="000000"/>
              </w:rPr>
            </w:pPr>
            <w:r w:rsidRPr="00E30094">
              <w:rPr>
                <w:color w:val="000000"/>
              </w:rPr>
              <w:t>0.521 (0.421-0.648)</w:t>
            </w:r>
            <w:r w:rsidRPr="00E30094" w:rsidDel="007C4DE9">
              <w:rPr>
                <w:color w:val="000000"/>
              </w:rPr>
              <w:t xml:space="preserve"> </w:t>
            </w:r>
          </w:p>
        </w:tc>
        <w:tc>
          <w:tcPr>
            <w:tcW w:w="2358" w:type="dxa"/>
            <w:noWrap/>
            <w:hideMark/>
          </w:tcPr>
          <w:p w14:paraId="041BE8A1" w14:textId="77777777" w:rsidR="009276F4" w:rsidRPr="00E30094" w:rsidRDefault="009276F4" w:rsidP="00E30094">
            <w:pPr>
              <w:jc w:val="right"/>
              <w:cnfStyle w:val="000000100000" w:firstRow="0" w:lastRow="0" w:firstColumn="0" w:lastColumn="0" w:oddVBand="0" w:evenVBand="0" w:oddHBand="1" w:evenHBand="0" w:firstRowFirstColumn="0" w:firstRowLastColumn="0" w:lastRowFirstColumn="0" w:lastRowLastColumn="0"/>
              <w:rPr>
                <w:color w:val="000000"/>
              </w:rPr>
            </w:pPr>
            <w:r w:rsidRPr="00E30094">
              <w:rPr>
                <w:color w:val="000000"/>
              </w:rPr>
              <w:t>0.109 (0.100-0.118)</w:t>
            </w:r>
          </w:p>
        </w:tc>
      </w:tr>
      <w:tr w:rsidR="009276F4" w:rsidRPr="008743B7" w14:paraId="7C4EAE4C" w14:textId="77777777" w:rsidTr="00E30094">
        <w:trPr>
          <w:trHeight w:val="328"/>
        </w:trPr>
        <w:tc>
          <w:tcPr>
            <w:cnfStyle w:val="001000000000" w:firstRow="0" w:lastRow="0" w:firstColumn="1" w:lastColumn="0" w:oddVBand="0" w:evenVBand="0" w:oddHBand="0" w:evenHBand="0" w:firstRowFirstColumn="0" w:firstRowLastColumn="0" w:lastRowFirstColumn="0" w:lastRowLastColumn="0"/>
            <w:tcW w:w="7075" w:type="dxa"/>
            <w:gridSpan w:val="3"/>
            <w:noWrap/>
          </w:tcPr>
          <w:p w14:paraId="5949B918" w14:textId="77777777" w:rsidR="009276F4" w:rsidRPr="00E30094" w:rsidRDefault="009276F4" w:rsidP="00E30094">
            <w:pPr>
              <w:rPr>
                <w:i/>
                <w:iCs/>
                <w:color w:val="000000"/>
              </w:rPr>
            </w:pPr>
            <w:r w:rsidRPr="00E30094">
              <w:rPr>
                <w:i/>
                <w:iCs/>
                <w:color w:val="000000"/>
              </w:rPr>
              <w:t>Model 2</w:t>
            </w:r>
          </w:p>
        </w:tc>
      </w:tr>
      <w:tr w:rsidR="009276F4" w:rsidRPr="00DF4F0C" w14:paraId="37E43A86" w14:textId="77777777" w:rsidTr="00E30094">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791" w:type="dxa"/>
            <w:noWrap/>
            <w:hideMark/>
          </w:tcPr>
          <w:p w14:paraId="71819EFB" w14:textId="77777777" w:rsidR="009276F4" w:rsidRPr="00E30094" w:rsidRDefault="009276F4" w:rsidP="00E30094">
            <w:pPr>
              <w:jc w:val="right"/>
              <w:rPr>
                <w:b w:val="0"/>
                <w:bCs w:val="0"/>
                <w:color w:val="000000"/>
              </w:rPr>
            </w:pPr>
            <m:oMath>
              <m:r>
                <m:rPr>
                  <m:sty m:val="bi"/>
                </m:rPr>
                <w:rPr>
                  <w:rFonts w:ascii="Cambria Math" w:hAnsi="Cambria Math"/>
                  <w:color w:val="000000"/>
                </w:rPr>
                <m:t>ω</m:t>
              </m:r>
            </m:oMath>
            <w:r w:rsidRPr="00E30094" w:rsidDel="006D47F6">
              <w:rPr>
                <w:color w:val="000000"/>
              </w:rPr>
              <w:t xml:space="preserve"> </w:t>
            </w:r>
          </w:p>
        </w:tc>
        <w:tc>
          <w:tcPr>
            <w:tcW w:w="2926" w:type="dxa"/>
            <w:noWrap/>
            <w:hideMark/>
          </w:tcPr>
          <w:p w14:paraId="14BCE950" w14:textId="77777777" w:rsidR="009276F4" w:rsidRPr="00E30094" w:rsidRDefault="009276F4" w:rsidP="00E30094">
            <w:pPr>
              <w:jc w:val="right"/>
              <w:cnfStyle w:val="000000100000" w:firstRow="0" w:lastRow="0" w:firstColumn="0" w:lastColumn="0" w:oddVBand="0" w:evenVBand="0" w:oddHBand="1" w:evenHBand="0" w:firstRowFirstColumn="0" w:firstRowLastColumn="0" w:lastRowFirstColumn="0" w:lastRowLastColumn="0"/>
              <w:rPr>
                <w:color w:val="000000"/>
              </w:rPr>
            </w:pPr>
            <w:r w:rsidRPr="00E30094">
              <w:rPr>
                <w:color w:val="000000"/>
              </w:rPr>
              <w:t>0.682 (0.448-1.045)</w:t>
            </w:r>
          </w:p>
        </w:tc>
        <w:tc>
          <w:tcPr>
            <w:tcW w:w="2358" w:type="dxa"/>
            <w:noWrap/>
            <w:hideMark/>
          </w:tcPr>
          <w:p w14:paraId="2E4F6BB8" w14:textId="77777777" w:rsidR="009276F4" w:rsidRPr="00E30094" w:rsidRDefault="009276F4" w:rsidP="00E30094">
            <w:pPr>
              <w:jc w:val="right"/>
              <w:cnfStyle w:val="000000100000" w:firstRow="0" w:lastRow="0" w:firstColumn="0" w:lastColumn="0" w:oddVBand="0" w:evenVBand="0" w:oddHBand="1" w:evenHBand="0" w:firstRowFirstColumn="0" w:firstRowLastColumn="0" w:lastRowFirstColumn="0" w:lastRowLastColumn="0"/>
              <w:rPr>
                <w:color w:val="000000"/>
              </w:rPr>
            </w:pPr>
            <w:r w:rsidRPr="00E30094">
              <w:rPr>
                <w:color w:val="000000"/>
              </w:rPr>
              <w:t>2.442 (1.661-3.678)</w:t>
            </w:r>
          </w:p>
        </w:tc>
      </w:tr>
      <w:tr w:rsidR="009276F4" w:rsidRPr="00DF4F0C" w14:paraId="63A8DA11" w14:textId="77777777" w:rsidTr="00E30094">
        <w:trPr>
          <w:trHeight w:val="328"/>
        </w:trPr>
        <w:tc>
          <w:tcPr>
            <w:cnfStyle w:val="001000000000" w:firstRow="0" w:lastRow="0" w:firstColumn="1" w:lastColumn="0" w:oddVBand="0" w:evenVBand="0" w:oddHBand="0" w:evenHBand="0" w:firstRowFirstColumn="0" w:firstRowLastColumn="0" w:lastRowFirstColumn="0" w:lastRowLastColumn="0"/>
            <w:tcW w:w="1791" w:type="dxa"/>
            <w:noWrap/>
            <w:hideMark/>
          </w:tcPr>
          <w:p w14:paraId="49A607DD" w14:textId="77777777" w:rsidR="009276F4" w:rsidRPr="00E30094" w:rsidRDefault="00000000" w:rsidP="00E30094">
            <w:pPr>
              <w:jc w:val="right"/>
              <w:rPr>
                <w:b w:val="0"/>
                <w:bCs w:val="0"/>
                <w:color w:val="000000"/>
              </w:rPr>
            </w:pPr>
            <m:oMathPara>
              <m:oMath>
                <m:sSub>
                  <m:sSubPr>
                    <m:ctrlPr>
                      <w:rPr>
                        <w:rFonts w:ascii="Cambria Math" w:hAnsi="Cambria Math"/>
                        <w:b w:val="0"/>
                        <w:bCs w:val="0"/>
                        <w:i/>
                        <w:color w:val="000000"/>
                      </w:rPr>
                    </m:ctrlPr>
                  </m:sSubPr>
                  <m:e>
                    <m:r>
                      <m:rPr>
                        <m:sty m:val="bi"/>
                      </m:rPr>
                      <w:rPr>
                        <w:rFonts w:ascii="Cambria Math" w:hAnsi="Cambria Math"/>
                        <w:color w:val="000000"/>
                      </w:rPr>
                      <m:t>λ</m:t>
                    </m:r>
                  </m:e>
                  <m:sub>
                    <m:r>
                      <m:rPr>
                        <m:sty m:val="bi"/>
                      </m:rPr>
                      <w:rPr>
                        <w:rFonts w:ascii="Cambria Math" w:hAnsi="Cambria Math"/>
                        <w:color w:val="000000"/>
                      </w:rPr>
                      <m:t>2017</m:t>
                    </m:r>
                  </m:sub>
                </m:sSub>
              </m:oMath>
            </m:oMathPara>
          </w:p>
        </w:tc>
        <w:tc>
          <w:tcPr>
            <w:tcW w:w="2926" w:type="dxa"/>
            <w:noWrap/>
            <w:hideMark/>
          </w:tcPr>
          <w:p w14:paraId="01887352" w14:textId="77777777" w:rsidR="009276F4" w:rsidRPr="00E30094" w:rsidRDefault="009276F4" w:rsidP="00E30094">
            <w:pPr>
              <w:jc w:val="right"/>
              <w:cnfStyle w:val="000000000000" w:firstRow="0" w:lastRow="0" w:firstColumn="0" w:lastColumn="0" w:oddVBand="0" w:evenVBand="0" w:oddHBand="0" w:evenHBand="0" w:firstRowFirstColumn="0" w:firstRowLastColumn="0" w:lastRowFirstColumn="0" w:lastRowLastColumn="0"/>
              <w:rPr>
                <w:color w:val="000000"/>
              </w:rPr>
            </w:pPr>
            <w:r w:rsidRPr="00E30094">
              <w:rPr>
                <w:color w:val="000000"/>
              </w:rPr>
              <w:t>0.739 (0.547-0.991)</w:t>
            </w:r>
          </w:p>
        </w:tc>
        <w:tc>
          <w:tcPr>
            <w:tcW w:w="2358" w:type="dxa"/>
            <w:noWrap/>
            <w:hideMark/>
          </w:tcPr>
          <w:p w14:paraId="6ABCAF95" w14:textId="77777777" w:rsidR="009276F4" w:rsidRPr="00E30094" w:rsidRDefault="009276F4" w:rsidP="00E30094">
            <w:pPr>
              <w:jc w:val="right"/>
              <w:cnfStyle w:val="000000000000" w:firstRow="0" w:lastRow="0" w:firstColumn="0" w:lastColumn="0" w:oddVBand="0" w:evenVBand="0" w:oddHBand="0" w:evenHBand="0" w:firstRowFirstColumn="0" w:firstRowLastColumn="0" w:lastRowFirstColumn="0" w:lastRowLastColumn="0"/>
              <w:rPr>
                <w:color w:val="000000"/>
              </w:rPr>
            </w:pPr>
            <w:r w:rsidRPr="00E30094">
              <w:rPr>
                <w:color w:val="000000"/>
              </w:rPr>
              <w:t>0.221 (0.155-0.296)</w:t>
            </w:r>
          </w:p>
        </w:tc>
      </w:tr>
      <w:tr w:rsidR="009276F4" w:rsidRPr="00DF4F0C" w14:paraId="62D364CD" w14:textId="77777777" w:rsidTr="00E30094">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791" w:type="dxa"/>
            <w:noWrap/>
            <w:hideMark/>
          </w:tcPr>
          <w:p w14:paraId="5FC2BBE7" w14:textId="77777777" w:rsidR="009276F4" w:rsidRPr="00E30094" w:rsidRDefault="009276F4" w:rsidP="00E30094">
            <w:pPr>
              <w:jc w:val="right"/>
              <w:rPr>
                <w:b w:val="0"/>
                <w:bCs w:val="0"/>
                <w:color w:val="000000"/>
              </w:rPr>
            </w:pPr>
            <m:oMathPara>
              <m:oMath>
                <m:r>
                  <m:rPr>
                    <m:sty m:val="bi"/>
                  </m:rPr>
                  <w:rPr>
                    <w:rFonts w:ascii="Cambria Math" w:hAnsi="Cambria Math"/>
                    <w:color w:val="000000"/>
                  </w:rPr>
                  <m:t>σ</m:t>
                </m:r>
              </m:oMath>
            </m:oMathPara>
          </w:p>
        </w:tc>
        <w:tc>
          <w:tcPr>
            <w:tcW w:w="2926" w:type="dxa"/>
            <w:noWrap/>
            <w:hideMark/>
          </w:tcPr>
          <w:p w14:paraId="4CAF852D" w14:textId="77777777" w:rsidR="009276F4" w:rsidRPr="00E30094" w:rsidRDefault="009276F4" w:rsidP="00E30094">
            <w:pPr>
              <w:jc w:val="right"/>
              <w:cnfStyle w:val="000000100000" w:firstRow="0" w:lastRow="0" w:firstColumn="0" w:lastColumn="0" w:oddVBand="0" w:evenVBand="0" w:oddHBand="1" w:evenHBand="0" w:firstRowFirstColumn="0" w:firstRowLastColumn="0" w:lastRowFirstColumn="0" w:lastRowLastColumn="0"/>
              <w:rPr>
                <w:color w:val="000000"/>
              </w:rPr>
            </w:pPr>
            <w:r w:rsidRPr="00E30094">
              <w:rPr>
                <w:color w:val="000000"/>
              </w:rPr>
              <w:t>0.062 (0.037-0.111)</w:t>
            </w:r>
          </w:p>
        </w:tc>
        <w:tc>
          <w:tcPr>
            <w:tcW w:w="2358" w:type="dxa"/>
            <w:noWrap/>
            <w:hideMark/>
          </w:tcPr>
          <w:p w14:paraId="0494FDA5" w14:textId="77777777" w:rsidR="009276F4" w:rsidRPr="00E30094" w:rsidRDefault="009276F4" w:rsidP="00E30094">
            <w:pPr>
              <w:jc w:val="right"/>
              <w:cnfStyle w:val="000000100000" w:firstRow="0" w:lastRow="0" w:firstColumn="0" w:lastColumn="0" w:oddVBand="0" w:evenVBand="0" w:oddHBand="1" w:evenHBand="0" w:firstRowFirstColumn="0" w:firstRowLastColumn="0" w:lastRowFirstColumn="0" w:lastRowLastColumn="0"/>
              <w:rPr>
                <w:color w:val="000000"/>
              </w:rPr>
            </w:pPr>
            <w:r w:rsidRPr="00E30094">
              <w:rPr>
                <w:color w:val="000000"/>
              </w:rPr>
              <w:t>0.023 (0.013-0.039)</w:t>
            </w:r>
          </w:p>
        </w:tc>
      </w:tr>
    </w:tbl>
    <w:p w14:paraId="62CEFFB6" w14:textId="77777777" w:rsidR="009276F4" w:rsidRDefault="009276F4" w:rsidP="009276F4"/>
    <w:p w14:paraId="3A34D0E5" w14:textId="77777777" w:rsidR="009276F4" w:rsidRDefault="009276F4" w:rsidP="009276F4"/>
    <w:p w14:paraId="63C2E414" w14:textId="10EDAC73" w:rsidR="00545DD3" w:rsidRDefault="00545DD3"/>
    <w:sectPr w:rsidR="00545DD3" w:rsidSect="00FA461F">
      <w:footerReference w:type="even" r:id="rId6"/>
      <w:footerReference w:type="default" r:id="rId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8CB4B" w14:textId="77777777" w:rsidR="00CA5903" w:rsidRDefault="00CA5903">
      <w:r>
        <w:separator/>
      </w:r>
    </w:p>
  </w:endnote>
  <w:endnote w:type="continuationSeparator" w:id="0">
    <w:p w14:paraId="677F095B" w14:textId="77777777" w:rsidR="00CA5903" w:rsidRDefault="00CA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2669977"/>
      <w:docPartObj>
        <w:docPartGallery w:val="Page Numbers (Bottom of Page)"/>
        <w:docPartUnique/>
      </w:docPartObj>
    </w:sdtPr>
    <w:sdtContent>
      <w:p w14:paraId="4389D648" w14:textId="77777777" w:rsidR="0020608B" w:rsidRDefault="00000000" w:rsidP="00DA0C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EE6A04" w14:textId="77777777" w:rsidR="0020608B"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1918980"/>
      <w:docPartObj>
        <w:docPartGallery w:val="Page Numbers (Bottom of Page)"/>
        <w:docPartUnique/>
      </w:docPartObj>
    </w:sdtPr>
    <w:sdtContent>
      <w:p w14:paraId="60080363" w14:textId="77777777" w:rsidR="0020608B" w:rsidRDefault="00000000" w:rsidP="00DA0C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76E347" w14:textId="77777777" w:rsidR="0020608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2A91E" w14:textId="77777777" w:rsidR="00CA5903" w:rsidRDefault="00CA5903">
      <w:r>
        <w:separator/>
      </w:r>
    </w:p>
  </w:footnote>
  <w:footnote w:type="continuationSeparator" w:id="0">
    <w:p w14:paraId="0CC6BFD4" w14:textId="77777777" w:rsidR="00CA5903" w:rsidRDefault="00CA5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e0astfpwp0wheapw15evxovrvazsxzr5zp&quot;&gt;ent68_serology_UK&lt;record-ids&gt;&lt;item&gt;114&lt;/item&gt;&lt;item&gt;115&lt;/item&gt;&lt;item&gt;116&lt;/item&gt;&lt;/record-ids&gt;&lt;/item&gt;&lt;/Libraries&gt;"/>
  </w:docVars>
  <w:rsids>
    <w:rsidRoot w:val="009276F4"/>
    <w:rsid w:val="001375D1"/>
    <w:rsid w:val="001517D0"/>
    <w:rsid w:val="001B6932"/>
    <w:rsid w:val="001C6D76"/>
    <w:rsid w:val="002042B0"/>
    <w:rsid w:val="00260E22"/>
    <w:rsid w:val="002B4277"/>
    <w:rsid w:val="00303011"/>
    <w:rsid w:val="003727A4"/>
    <w:rsid w:val="0039465E"/>
    <w:rsid w:val="003C13C7"/>
    <w:rsid w:val="003D0468"/>
    <w:rsid w:val="00400B81"/>
    <w:rsid w:val="00426CF8"/>
    <w:rsid w:val="00530707"/>
    <w:rsid w:val="00540240"/>
    <w:rsid w:val="00545DD3"/>
    <w:rsid w:val="005B0F8A"/>
    <w:rsid w:val="006815ED"/>
    <w:rsid w:val="00752CC4"/>
    <w:rsid w:val="00764B6E"/>
    <w:rsid w:val="0080062F"/>
    <w:rsid w:val="00803794"/>
    <w:rsid w:val="008265A5"/>
    <w:rsid w:val="008B348A"/>
    <w:rsid w:val="008F2CDF"/>
    <w:rsid w:val="00901FEE"/>
    <w:rsid w:val="009276F4"/>
    <w:rsid w:val="009355B6"/>
    <w:rsid w:val="009D0F32"/>
    <w:rsid w:val="00A65D04"/>
    <w:rsid w:val="00A71C36"/>
    <w:rsid w:val="00A80668"/>
    <w:rsid w:val="00A82D3A"/>
    <w:rsid w:val="00B3328B"/>
    <w:rsid w:val="00BD2AE0"/>
    <w:rsid w:val="00C64CCD"/>
    <w:rsid w:val="00CA5903"/>
    <w:rsid w:val="00CD5742"/>
    <w:rsid w:val="00CF4A18"/>
    <w:rsid w:val="00D042E6"/>
    <w:rsid w:val="00E371C8"/>
    <w:rsid w:val="00E43753"/>
    <w:rsid w:val="00EA1D35"/>
    <w:rsid w:val="00EB7F1C"/>
    <w:rsid w:val="00ED7411"/>
    <w:rsid w:val="00EE2E1F"/>
    <w:rsid w:val="00F0511C"/>
    <w:rsid w:val="00F23254"/>
    <w:rsid w:val="00F31E65"/>
    <w:rsid w:val="00F327E4"/>
    <w:rsid w:val="00F60BCA"/>
    <w:rsid w:val="00F84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5AE4F7"/>
  <w15:chartTrackingRefBased/>
  <w15:docId w15:val="{6E162F7F-F9C5-EC46-9464-97646682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6F4"/>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9276F4"/>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9276F4"/>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276F4"/>
    <w:rPr>
      <w:kern w:val="0"/>
      <w14:ligatures w14:val="none"/>
    </w:rPr>
  </w:style>
  <w:style w:type="character" w:styleId="PageNumber">
    <w:name w:val="page number"/>
    <w:basedOn w:val="DefaultParagraphFont"/>
    <w:uiPriority w:val="99"/>
    <w:semiHidden/>
    <w:unhideWhenUsed/>
    <w:rsid w:val="009276F4"/>
  </w:style>
  <w:style w:type="character" w:styleId="LineNumber">
    <w:name w:val="line number"/>
    <w:basedOn w:val="DefaultParagraphFont"/>
    <w:uiPriority w:val="99"/>
    <w:semiHidden/>
    <w:unhideWhenUsed/>
    <w:rsid w:val="009276F4"/>
  </w:style>
  <w:style w:type="paragraph" w:customStyle="1" w:styleId="EndNoteBibliographyTitle">
    <w:name w:val="EndNote Bibliography Title"/>
    <w:basedOn w:val="Normal"/>
    <w:link w:val="EndNoteBibliographyTitleChar"/>
    <w:rsid w:val="00303011"/>
    <w:pPr>
      <w:jc w:val="center"/>
    </w:pPr>
  </w:style>
  <w:style w:type="character" w:customStyle="1" w:styleId="EndNoteBibliographyTitleChar">
    <w:name w:val="EndNote Bibliography Title Char"/>
    <w:basedOn w:val="DefaultParagraphFont"/>
    <w:link w:val="EndNoteBibliographyTitle"/>
    <w:rsid w:val="00303011"/>
    <w:rPr>
      <w:rFonts w:ascii="Times New Roman" w:eastAsia="Times New Roman" w:hAnsi="Times New Roman" w:cs="Times New Roman"/>
      <w:kern w:val="0"/>
      <w:lang w:eastAsia="en-GB"/>
      <w14:ligatures w14:val="none"/>
    </w:rPr>
  </w:style>
  <w:style w:type="paragraph" w:customStyle="1" w:styleId="EndNoteBibliography">
    <w:name w:val="EndNote Bibliography"/>
    <w:basedOn w:val="Normal"/>
    <w:link w:val="EndNoteBibliographyChar"/>
    <w:rsid w:val="00303011"/>
  </w:style>
  <w:style w:type="character" w:customStyle="1" w:styleId="EndNoteBibliographyChar">
    <w:name w:val="EndNote Bibliography Char"/>
    <w:basedOn w:val="DefaultParagraphFont"/>
    <w:link w:val="EndNoteBibliography"/>
    <w:rsid w:val="00303011"/>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303011"/>
    <w:rPr>
      <w:color w:val="0563C1" w:themeColor="hyperlink"/>
      <w:u w:val="single"/>
    </w:rPr>
  </w:style>
  <w:style w:type="character" w:styleId="UnresolvedMention">
    <w:name w:val="Unresolved Mention"/>
    <w:basedOn w:val="DefaultParagraphFont"/>
    <w:uiPriority w:val="99"/>
    <w:semiHidden/>
    <w:unhideWhenUsed/>
    <w:rsid w:val="00303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Pons Salort, Margarita</dc:creator>
  <cp:keywords/>
  <dc:description/>
  <cp:lastModifiedBy>Pons Salort, Margarita</cp:lastModifiedBy>
  <cp:revision>20</cp:revision>
  <dcterms:created xsi:type="dcterms:W3CDTF">2023-03-23T14:22:00Z</dcterms:created>
  <dcterms:modified xsi:type="dcterms:W3CDTF">2023-03-24T12:50:00Z</dcterms:modified>
</cp:coreProperties>
</file>