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2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09"/>
        <w:gridCol w:w="1701"/>
        <w:gridCol w:w="1701"/>
        <w:gridCol w:w="1701"/>
      </w:tblGrid>
      <w:tr w:rsidR="00A22927" w:rsidRPr="004F15C7" w14:paraId="5154C9AF" w14:textId="77777777" w:rsidTr="007741F2">
        <w:trPr>
          <w:trHeight w:val="373"/>
          <w:jc w:val="center"/>
        </w:trPr>
        <w:tc>
          <w:tcPr>
            <w:tcW w:w="21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30F477" w14:textId="77777777" w:rsidR="00A22927" w:rsidRPr="004F15C7" w:rsidRDefault="00A22927" w:rsidP="007741F2">
            <w:pPr>
              <w:jc w:val="right"/>
              <w:rPr>
                <w:color w:val="000000" w:themeColor="text1"/>
                <w:sz w:val="22"/>
                <w:szCs w:val="22"/>
                <w:lang w:val="en-GB"/>
              </w:rPr>
            </w:pPr>
            <w:r w:rsidRPr="004F15C7">
              <w:rPr>
                <w:color w:val="000000" w:themeColor="text1"/>
                <w:sz w:val="22"/>
                <w:szCs w:val="22"/>
                <w:lang w:val="en-GB"/>
              </w:rPr>
              <w:t>environment</w:t>
            </w:r>
          </w:p>
          <w:p w14:paraId="601F40A3" w14:textId="77777777" w:rsidR="00A22927" w:rsidRPr="004F15C7" w:rsidRDefault="00A22927" w:rsidP="007741F2">
            <w:pPr>
              <w:rPr>
                <w:color w:val="000000" w:themeColor="text1"/>
                <w:sz w:val="10"/>
                <w:szCs w:val="10"/>
                <w:lang w:val="en-GB"/>
              </w:rPr>
            </w:pPr>
          </w:p>
          <w:p w14:paraId="29FF8B07" w14:textId="77777777" w:rsidR="00A22927" w:rsidRPr="004F15C7" w:rsidRDefault="00A22927" w:rsidP="007741F2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4F15C7">
              <w:rPr>
                <w:color w:val="000000" w:themeColor="text1"/>
                <w:sz w:val="22"/>
                <w:szCs w:val="22"/>
                <w:lang w:val="en-GB"/>
              </w:rPr>
              <w:t>capacity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854EE7" w14:textId="77777777" w:rsidR="00A22927" w:rsidRPr="004F15C7" w:rsidRDefault="00A22927" w:rsidP="007741F2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4F15C7">
              <w:rPr>
                <w:color w:val="000000" w:themeColor="text1"/>
                <w:sz w:val="22"/>
                <w:szCs w:val="22"/>
                <w:lang w:val="en-GB"/>
              </w:rPr>
              <w:t>poor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30D912" w14:textId="77777777" w:rsidR="00A22927" w:rsidRPr="004F15C7" w:rsidRDefault="00A22927" w:rsidP="007741F2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4F15C7">
              <w:rPr>
                <w:color w:val="000000" w:themeColor="text1"/>
                <w:sz w:val="22"/>
                <w:szCs w:val="22"/>
                <w:lang w:val="en-GB"/>
              </w:rPr>
              <w:t>neutral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04699E" w14:textId="77777777" w:rsidR="00A22927" w:rsidRPr="004F15C7" w:rsidRDefault="00A22927" w:rsidP="007741F2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4F15C7">
              <w:rPr>
                <w:color w:val="000000" w:themeColor="text1"/>
                <w:sz w:val="22"/>
                <w:szCs w:val="22"/>
                <w:lang w:val="en-GB"/>
              </w:rPr>
              <w:t>rich</w:t>
            </w:r>
          </w:p>
        </w:tc>
      </w:tr>
      <w:tr w:rsidR="00A22927" w:rsidRPr="004F15C7" w14:paraId="30705569" w14:textId="77777777" w:rsidTr="007741F2">
        <w:trPr>
          <w:trHeight w:val="397"/>
          <w:jc w:val="center"/>
        </w:trPr>
        <w:tc>
          <w:tcPr>
            <w:tcW w:w="2109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CA1F02" w14:textId="77777777" w:rsidR="00A22927" w:rsidRPr="004F15C7" w:rsidRDefault="00A22927" w:rsidP="007741F2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4F15C7">
              <w:rPr>
                <w:color w:val="000000" w:themeColor="text1"/>
                <w:sz w:val="22"/>
                <w:szCs w:val="22"/>
                <w:lang w:val="en-GB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1460CD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66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=231.0</m:t>
                </m:r>
              </m:oMath>
            </m:oMathPara>
          </w:p>
          <w:p w14:paraId="75D2607A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=1.56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×10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-3</m:t>
                    </m:r>
                  </m:sup>
                </m:sSup>
              </m:oMath>
            </m:oMathPara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CC1784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66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=276.0</m:t>
                </m:r>
              </m:oMath>
            </m:oMathPara>
          </w:p>
          <w:p w14:paraId="0AAEEBB6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=7.39×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-4</m:t>
                    </m:r>
                  </m:sup>
                </m:sSup>
              </m:oMath>
            </m:oMathPara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9566E7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66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=171.0</m:t>
                </m:r>
              </m:oMath>
            </m:oMathPara>
          </w:p>
          <w:p w14:paraId="45999830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=5.97×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-3</m:t>
                    </m:r>
                  </m:sup>
                </m:sSup>
              </m:oMath>
            </m:oMathPara>
          </w:p>
        </w:tc>
      </w:tr>
      <w:tr w:rsidR="00A22927" w:rsidRPr="004F15C7" w14:paraId="21E9374E" w14:textId="77777777" w:rsidTr="007741F2">
        <w:trPr>
          <w:trHeight w:val="397"/>
          <w:jc w:val="center"/>
        </w:trPr>
        <w:tc>
          <w:tcPr>
            <w:tcW w:w="21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896D2B" w14:textId="77777777" w:rsidR="00A22927" w:rsidRPr="004F15C7" w:rsidRDefault="00A22927" w:rsidP="007741F2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4F15C7">
              <w:rPr>
                <w:color w:val="000000" w:themeColor="text1"/>
                <w:sz w:val="22"/>
                <w:szCs w:val="22"/>
                <w:lang w:val="en-GB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2DE42A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33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=190.0</m:t>
                </m:r>
              </m:oMath>
            </m:oMathPara>
          </w:p>
          <w:p w14:paraId="6296D50E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=3.99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×10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-3</m:t>
                    </m:r>
                  </m:sup>
                </m:sSup>
              </m:oMath>
            </m:oMathPara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7863F6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33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=435.0</m:t>
                </m:r>
              </m:oMath>
            </m:oMathPara>
          </w:p>
          <w:p w14:paraId="589FA118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=8.38×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-5</m:t>
                    </m:r>
                  </m:sup>
                </m:sSup>
              </m:oMath>
            </m:oMathPara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F3EF8E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33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=19.5</m:t>
                </m:r>
              </m:oMath>
            </m:oMathPara>
          </w:p>
          <w:p w14:paraId="6F3A129E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=3.80×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-4</m:t>
                    </m:r>
                  </m:sup>
                </m:sSup>
              </m:oMath>
            </m:oMathPara>
          </w:p>
        </w:tc>
      </w:tr>
      <w:tr w:rsidR="00A22927" w:rsidRPr="004F15C7" w14:paraId="6CC6C215" w14:textId="77777777" w:rsidTr="007741F2">
        <w:trPr>
          <w:trHeight w:val="397"/>
          <w:jc w:val="center"/>
        </w:trPr>
        <w:tc>
          <w:tcPr>
            <w:tcW w:w="21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FB6137" w14:textId="77777777" w:rsidR="00A22927" w:rsidRPr="004F15C7" w:rsidRDefault="00A22927" w:rsidP="007741F2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4F15C7">
              <w:rPr>
                <w:color w:val="000000" w:themeColor="text1"/>
                <w:sz w:val="22"/>
                <w:szCs w:val="22"/>
                <w:lang w:val="en-GB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CD1F18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66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=1128.0</m:t>
                </m:r>
              </m:oMath>
            </m:oMathPara>
          </w:p>
          <w:p w14:paraId="202ECAB1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=7.89×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-8</m:t>
                    </m:r>
                  </m:sup>
                </m:sSup>
              </m:oMath>
            </m:oMathPara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229C27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66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=1075.5</m:t>
                </m:r>
              </m:oMath>
            </m:oMathPara>
          </w:p>
          <w:p w14:paraId="50CD5251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=1</m:t>
                </m:r>
              </m:oMath>
            </m:oMathPara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DBD892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66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=1196.0</m:t>
                </m:r>
              </m:oMath>
            </m:oMathPara>
          </w:p>
          <w:p w14:paraId="60104F80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=1</m:t>
                </m:r>
              </m:oMath>
            </m:oMathPara>
          </w:p>
        </w:tc>
      </w:tr>
      <w:tr w:rsidR="00A22927" w:rsidRPr="004F15C7" w14:paraId="3FFFC7F2" w14:textId="77777777" w:rsidTr="007741F2">
        <w:trPr>
          <w:trHeight w:val="397"/>
          <w:jc w:val="center"/>
        </w:trPr>
        <w:tc>
          <w:tcPr>
            <w:tcW w:w="21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107EA4" w14:textId="77777777" w:rsidR="00A22927" w:rsidRPr="004F15C7" w:rsidRDefault="00A22927" w:rsidP="007741F2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4F15C7">
              <w:rPr>
                <w:color w:val="000000" w:themeColor="text1"/>
                <w:sz w:val="22"/>
                <w:szCs w:val="22"/>
                <w:lang w:val="en-GB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D71958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33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=435.0</m:t>
                </m:r>
              </m:oMath>
            </m:oMathPara>
          </w:p>
          <w:p w14:paraId="5DF40E8C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=8.65×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-5</m:t>
                    </m:r>
                  </m:sup>
                </m:sSup>
              </m:oMath>
            </m:oMathPara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DEF8EF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33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=410.0</m:t>
                </m:r>
              </m:oMath>
            </m:oMathPara>
          </w:p>
          <w:p w14:paraId="6300CE20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=.00881</m:t>
                </m:r>
              </m:oMath>
            </m:oMathPara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F091A5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33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=152.0</m:t>
                </m:r>
              </m:oMath>
            </m:oMathPara>
          </w:p>
          <w:p w14:paraId="18102FA0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=1</m:t>
                </m:r>
              </m:oMath>
            </m:oMathPara>
          </w:p>
        </w:tc>
      </w:tr>
      <w:tr w:rsidR="00A22927" w:rsidRPr="004F15C7" w14:paraId="677ECD76" w14:textId="77777777" w:rsidTr="007741F2">
        <w:trPr>
          <w:trHeight w:val="397"/>
          <w:jc w:val="center"/>
        </w:trPr>
        <w:tc>
          <w:tcPr>
            <w:tcW w:w="21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A658F1" w14:textId="77777777" w:rsidR="00A22927" w:rsidRPr="004F15C7" w:rsidRDefault="00A22927" w:rsidP="007741F2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4F15C7">
              <w:rPr>
                <w:color w:val="000000" w:themeColor="text1"/>
                <w:sz w:val="22"/>
                <w:szCs w:val="22"/>
                <w:lang w:val="en-GB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AF0112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33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=300.0</m:t>
                </m:r>
              </m:oMath>
            </m:oMathPara>
          </w:p>
          <w:p w14:paraId="1EC9027B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=6.10×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-4</m:t>
                    </m:r>
                  </m:sup>
                </m:sSup>
              </m:oMath>
            </m:oMathPara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70F497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33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=331.5</m:t>
                </m:r>
              </m:oMath>
            </m:oMathPara>
          </w:p>
          <w:p w14:paraId="2863F868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=1</m:t>
                </m:r>
              </m:oMath>
            </m:oMathPara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3D866C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33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=134.0</m:t>
                </m:r>
              </m:oMath>
            </m:oMathPara>
          </w:p>
          <w:p w14:paraId="395AB281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=1</m:t>
                </m:r>
              </m:oMath>
            </m:oMathPara>
          </w:p>
        </w:tc>
      </w:tr>
      <w:tr w:rsidR="00A22927" w:rsidRPr="004F15C7" w14:paraId="67CE47F3" w14:textId="77777777" w:rsidTr="007741F2">
        <w:trPr>
          <w:trHeight w:val="397"/>
          <w:jc w:val="center"/>
        </w:trPr>
        <w:tc>
          <w:tcPr>
            <w:tcW w:w="21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9D1677" w14:textId="77777777" w:rsidR="00A22927" w:rsidRPr="004F15C7" w:rsidRDefault="00A22927" w:rsidP="007741F2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4F15C7">
              <w:rPr>
                <w:color w:val="000000" w:themeColor="text1"/>
                <w:sz w:val="22"/>
                <w:szCs w:val="22"/>
                <w:lang w:val="en-GB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738A9A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33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=473.0</m:t>
                </m:r>
              </m:oMath>
            </m:oMathPara>
          </w:p>
          <w:p w14:paraId="129918B4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=.0197</m:t>
                </m:r>
              </m:oMath>
            </m:oMathPara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55744E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33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=443.5</m:t>
                </m:r>
              </m:oMath>
            </m:oMathPara>
          </w:p>
          <w:p w14:paraId="675B8FAD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=.0268</m:t>
                </m:r>
              </m:oMath>
            </m:oMathPara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A3DAA8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33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=267.5</m:t>
                </m:r>
              </m:oMath>
            </m:oMathPara>
          </w:p>
          <w:p w14:paraId="2F082DB5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=1</m:t>
                </m:r>
              </m:oMath>
            </m:oMathPara>
          </w:p>
        </w:tc>
      </w:tr>
      <w:tr w:rsidR="00A22927" w:rsidRPr="004F15C7" w14:paraId="36D221C8" w14:textId="77777777" w:rsidTr="007741F2">
        <w:trPr>
          <w:trHeight w:val="397"/>
          <w:jc w:val="center"/>
        </w:trPr>
        <w:tc>
          <w:tcPr>
            <w:tcW w:w="21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AB3541" w14:textId="77777777" w:rsidR="00A22927" w:rsidRPr="004F15C7" w:rsidRDefault="00A22927" w:rsidP="007741F2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4F15C7">
              <w:rPr>
                <w:color w:val="000000" w:themeColor="text1"/>
                <w:sz w:val="22"/>
                <w:szCs w:val="22"/>
                <w:lang w:val="en-GB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26E1BF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66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=1930.0</m:t>
                </m:r>
              </m:oMath>
            </m:oMathPara>
          </w:p>
          <w:p w14:paraId="6CAF1BD9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=6.96×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-7</m:t>
                    </m:r>
                  </m:sup>
                </m:sSup>
              </m:oMath>
            </m:oMathPara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CC4E45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66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=1424.0</m:t>
                </m:r>
              </m:oMath>
            </m:oMathPara>
          </w:p>
          <w:p w14:paraId="7CE3590C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=.340</m:t>
                </m:r>
              </m:oMath>
            </m:oMathPara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DC131A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66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=808.5</m:t>
                </m:r>
              </m:oMath>
            </m:oMathPara>
          </w:p>
          <w:p w14:paraId="6DD59C17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=1</m:t>
                </m:r>
              </m:oMath>
            </m:oMathPara>
          </w:p>
        </w:tc>
      </w:tr>
      <w:tr w:rsidR="00A22927" w:rsidRPr="004F15C7" w14:paraId="50699783" w14:textId="77777777" w:rsidTr="007741F2">
        <w:trPr>
          <w:trHeight w:val="397"/>
          <w:jc w:val="center"/>
        </w:trPr>
        <w:tc>
          <w:tcPr>
            <w:tcW w:w="21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66C036" w14:textId="77777777" w:rsidR="00A22927" w:rsidRPr="004F15C7" w:rsidRDefault="00A22927" w:rsidP="007741F2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4F15C7">
              <w:rPr>
                <w:color w:val="000000" w:themeColor="text1"/>
                <w:sz w:val="22"/>
                <w:szCs w:val="22"/>
                <w:lang w:val="en-GB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E8A732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33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=419.5</m:t>
                </m:r>
              </m:oMath>
            </m:oMathPara>
          </w:p>
          <w:p w14:paraId="5E62D8E4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=.123</m:t>
                </m:r>
              </m:oMath>
            </m:oMathPara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2797B8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33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=287.0</m:t>
                </m:r>
              </m:oMath>
            </m:oMathPara>
          </w:p>
          <w:p w14:paraId="36F42F1B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=1</m:t>
                </m:r>
              </m:oMath>
            </m:oMathPara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C000AA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33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=199.0</m:t>
                </m:r>
              </m:oMath>
            </m:oMathPara>
          </w:p>
          <w:p w14:paraId="70E65C23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=1</m:t>
                </m:r>
              </m:oMath>
            </m:oMathPara>
          </w:p>
        </w:tc>
      </w:tr>
      <w:tr w:rsidR="00A22927" w:rsidRPr="004F15C7" w14:paraId="32A98EFA" w14:textId="77777777" w:rsidTr="007741F2">
        <w:trPr>
          <w:trHeight w:val="397"/>
          <w:jc w:val="center"/>
        </w:trPr>
        <w:tc>
          <w:tcPr>
            <w:tcW w:w="21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E64C89" w14:textId="77777777" w:rsidR="00A22927" w:rsidRPr="004F15C7" w:rsidRDefault="00A22927" w:rsidP="007741F2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4F15C7">
              <w:rPr>
                <w:color w:val="000000" w:themeColor="text1"/>
                <w:sz w:val="22"/>
                <w:szCs w:val="22"/>
                <w:lang w:val="en-GB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131CB5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33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=428.0</m:t>
                </m:r>
              </m:oMath>
            </m:oMathPara>
          </w:p>
          <w:p w14:paraId="034105D4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=.0736</m:t>
                </m:r>
              </m:oMath>
            </m:oMathPara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8940B9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33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=420.5</m:t>
                </m:r>
              </m:oMath>
            </m:oMathPara>
          </w:p>
          <w:p w14:paraId="5C84E794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=.417</m:t>
                </m:r>
              </m:oMath>
            </m:oMathPara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B4F899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33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=118.0</m:t>
                </m:r>
              </m:oMath>
            </m:oMathPara>
          </w:p>
          <w:p w14:paraId="46B1EBA2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=.366</m:t>
                </m:r>
              </m:oMath>
            </m:oMathPara>
          </w:p>
        </w:tc>
      </w:tr>
      <w:tr w:rsidR="00A22927" w:rsidRPr="004F15C7" w14:paraId="0F3DD9B4" w14:textId="77777777" w:rsidTr="007741F2">
        <w:trPr>
          <w:trHeight w:val="397"/>
          <w:jc w:val="center"/>
        </w:trPr>
        <w:tc>
          <w:tcPr>
            <w:tcW w:w="21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DEE097" w14:textId="77777777" w:rsidR="00A22927" w:rsidRPr="004F15C7" w:rsidRDefault="00A22927" w:rsidP="007741F2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4F15C7">
              <w:rPr>
                <w:color w:val="000000" w:themeColor="text1"/>
                <w:sz w:val="22"/>
                <w:szCs w:val="22"/>
                <w:lang w:val="en-GB"/>
              </w:rPr>
              <w:t>16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5ADD8A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33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=365.0</m:t>
                </m:r>
              </m:oMath>
            </m:oMathPara>
          </w:p>
          <w:p w14:paraId="6AF1EB6B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=1</m:t>
                </m:r>
              </m:oMath>
            </m:oMathPara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E1647A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33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=236.0</m:t>
                </m:r>
              </m:oMath>
            </m:oMathPara>
          </w:p>
          <w:p w14:paraId="2AD878DC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=1</m:t>
                </m:r>
              </m:oMath>
            </m:oMathPara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A14FE9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33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=64.5</m:t>
                </m:r>
              </m:oMath>
            </m:oMathPara>
          </w:p>
          <w:p w14:paraId="40837C21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=6.53×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-3</m:t>
                    </m:r>
                  </m:sup>
                </m:sSup>
              </m:oMath>
            </m:oMathPara>
          </w:p>
        </w:tc>
      </w:tr>
      <w:tr w:rsidR="00A22927" w:rsidRPr="004F15C7" w14:paraId="47D69184" w14:textId="77777777" w:rsidTr="007741F2">
        <w:trPr>
          <w:trHeight w:val="397"/>
          <w:jc w:val="center"/>
        </w:trPr>
        <w:tc>
          <w:tcPr>
            <w:tcW w:w="21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D58E74" w14:textId="77777777" w:rsidR="00A22927" w:rsidRPr="004F15C7" w:rsidRDefault="00A22927" w:rsidP="007741F2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4F15C7">
              <w:rPr>
                <w:color w:val="000000" w:themeColor="text1"/>
                <w:sz w:val="22"/>
                <w:szCs w:val="22"/>
                <w:lang w:val="en-GB"/>
              </w:rPr>
              <w:t>32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C6DD97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33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=266.0</m:t>
                </m:r>
              </m:oMath>
            </m:oMathPara>
          </w:p>
          <w:p w14:paraId="192FE7D0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=1</m:t>
                </m:r>
              </m:oMath>
            </m:oMathPara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DCD700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33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=43.0</m:t>
                </m:r>
              </m:oMath>
            </m:oMathPara>
          </w:p>
          <w:p w14:paraId="7C30FCEE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=7.52×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10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-4</m:t>
                    </m:r>
                  </m:sup>
                </m:sSup>
              </m:oMath>
            </m:oMathPara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641FCF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33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=28.0</m:t>
                </m:r>
              </m:oMath>
            </m:oMathPara>
          </w:p>
          <w:p w14:paraId="62253106" w14:textId="77777777" w:rsidR="00A22927" w:rsidRPr="004F15C7" w:rsidRDefault="00A22927" w:rsidP="007741F2">
            <w:pPr>
              <w:jc w:val="center"/>
              <w:rPr>
                <w:rFonts w:ascii="Cambria Math" w:eastAsia="Cambria Math" w:hAnsi="Cambria Math" w:cs="Cambria Math"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=2.21×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-4</m:t>
                    </m:r>
                  </m:sup>
                </m:sSup>
              </m:oMath>
            </m:oMathPara>
          </w:p>
        </w:tc>
      </w:tr>
    </w:tbl>
    <w:p w14:paraId="036820C5" w14:textId="4BA1C83D" w:rsidR="00A22927" w:rsidRDefault="00A22927"/>
    <w:p w14:paraId="420CECEB" w14:textId="77777777" w:rsidR="00A22927" w:rsidRPr="004F15C7" w:rsidRDefault="00A22927" w:rsidP="00A22927">
      <w:pPr>
        <w:jc w:val="both"/>
        <w:rPr>
          <w:color w:val="000000" w:themeColor="text1"/>
          <w:sz w:val="22"/>
          <w:szCs w:val="22"/>
          <w:lang w:val="en-US"/>
        </w:rPr>
      </w:pPr>
      <w:proofErr w:type="spellStart"/>
      <w:r w:rsidRPr="004F15C7">
        <w:rPr>
          <w:b/>
          <w:i/>
          <w:color w:val="000000" w:themeColor="text1"/>
          <w:sz w:val="22"/>
          <w:szCs w:val="22"/>
          <w:lang w:val="en-US"/>
        </w:rPr>
        <w:t>Tabl</w:t>
      </w:r>
      <w:proofErr w:type="spellEnd"/>
      <m:oMath>
        <m:r>
          <m:rPr>
            <m:sty m:val="bi"/>
          </m:rPr>
          <w:rPr>
            <w:rFonts w:ascii="Cambria Math" w:hAnsi="Cambria Math"/>
            <w:color w:val="000000" w:themeColor="text1"/>
            <w:sz w:val="22"/>
            <w:szCs w:val="22"/>
          </w:rPr>
          <m:t>e</m:t>
        </m:r>
      </m:oMath>
      <w:r w:rsidRPr="004F15C7">
        <w:rPr>
          <w:b/>
          <w:i/>
          <w:color w:val="000000" w:themeColor="text1"/>
          <w:sz w:val="22"/>
          <w:szCs w:val="22"/>
          <w:lang w:val="en-US"/>
        </w:rPr>
        <w:t xml:space="preserve"> S1.</w:t>
      </w:r>
      <w:r w:rsidRPr="004F15C7">
        <w:rPr>
          <w:b/>
          <w:color w:val="000000" w:themeColor="text1"/>
          <w:sz w:val="22"/>
          <w:szCs w:val="22"/>
          <w:lang w:val="en-US"/>
        </w:rPr>
        <w:t xml:space="preserve"> </w:t>
      </w:r>
      <w:r w:rsidRPr="004F15C7">
        <w:rPr>
          <w:color w:val="000000" w:themeColor="text1"/>
          <w:sz w:val="22"/>
          <w:szCs w:val="22"/>
          <w:lang w:val="en-US"/>
        </w:rPr>
        <w:t>Participants’ sampling strategy deviates from optimality and tends to be tilted toward depth at low capacity and breadth at high capacity. Results of one-sample Wilcoxon tests against the null hypothesis (</w:t>
      </w:r>
      <m:oMath>
        <m:r>
          <w:rPr>
            <w:rFonts w:ascii="Cambria Math" w:hAnsi="Cambria Math"/>
            <w:color w:val="000000" w:themeColor="text1"/>
            <w:sz w:val="22"/>
            <w:szCs w:val="22"/>
          </w:rPr>
          <m:t>μ</m:t>
        </m:r>
      </m:oMath>
      <w:r w:rsidRPr="004F15C7">
        <w:rPr>
          <w:color w:val="000000" w:themeColor="text1"/>
          <w:sz w:val="22"/>
          <w:szCs w:val="22"/>
          <w:lang w:val="en-US"/>
        </w:rPr>
        <w:t>=0, no bias towards depth nor depth) of the differences between the optimal (</w:t>
      </w:r>
      <m:oMath>
        <m:sSub>
          <m:sSubPr>
            <m:ctrlPr>
              <w:rPr>
                <w:rFonts w:ascii="Cambria Math" w:eastAsia="Cambria Math" w:hAnsi="Cambria Math" w:cs="Cambria Math"/>
                <w:color w:val="000000" w:themeColor="text1"/>
                <w:sz w:val="22"/>
                <w:szCs w:val="22"/>
              </w:rPr>
            </m:ctrlPr>
          </m:sSubPr>
          <m:e>
            <m:r>
              <w:rPr>
                <w:rFonts w:ascii="Cambria Math" w:eastAsia="Cambria Math" w:hAnsi="Cambria Math" w:cs="Cambria Math"/>
                <w:color w:val="000000" w:themeColor="text1"/>
                <w:sz w:val="22"/>
                <w:szCs w:val="22"/>
              </w:rPr>
              <m:t>M</m:t>
            </m:r>
          </m:e>
          <m:sub>
            <m:r>
              <w:rPr>
                <w:rFonts w:ascii="Cambria Math" w:eastAsia="Cambria Math" w:hAnsi="Cambria Math" w:cs="Cambria Math"/>
                <w:color w:val="000000" w:themeColor="text1"/>
                <w:sz w:val="22"/>
                <w:szCs w:val="22"/>
              </w:rPr>
              <m:t>opt</m:t>
            </m:r>
          </m:sub>
        </m:sSub>
      </m:oMath>
      <w:r w:rsidRPr="004F15C7">
        <w:rPr>
          <w:color w:val="000000" w:themeColor="text1"/>
          <w:sz w:val="22"/>
          <w:szCs w:val="22"/>
          <w:lang w:val="en-US"/>
        </w:rPr>
        <w:t>) and the observed (</w:t>
      </w:r>
      <m:oMath>
        <m:r>
          <w:rPr>
            <w:rFonts w:ascii="Cambria Math" w:eastAsia="Cambria Math" w:hAnsi="Cambria Math" w:cs="Cambria Math"/>
            <w:color w:val="000000" w:themeColor="text1"/>
            <w:sz w:val="22"/>
            <w:szCs w:val="22"/>
          </w:rPr>
          <m:t>M</m:t>
        </m:r>
      </m:oMath>
      <w:r w:rsidRPr="004F15C7">
        <w:rPr>
          <w:color w:val="000000" w:themeColor="text1"/>
          <w:sz w:val="22"/>
          <w:szCs w:val="22"/>
          <w:lang w:val="en-US"/>
        </w:rPr>
        <w:t xml:space="preserve">) number of alternatives sampled averaged per participant for each capacity and environment. </w:t>
      </w:r>
      <m:oMath>
        <m:r>
          <w:rPr>
            <w:rFonts w:ascii="Cambria Math" w:eastAsia="Cambria Math" w:hAnsi="Cambria Math" w:cs="Cambria Math"/>
            <w:color w:val="000000" w:themeColor="text1"/>
            <w:sz w:val="22"/>
            <w:szCs w:val="22"/>
          </w:rPr>
          <m:t>V</m:t>
        </m:r>
      </m:oMath>
      <w:r w:rsidRPr="004F15C7">
        <w:rPr>
          <w:color w:val="000000" w:themeColor="text1"/>
          <w:sz w:val="22"/>
          <w:szCs w:val="22"/>
          <w:lang w:val="en-US"/>
        </w:rPr>
        <w:t xml:space="preserve"> statistics and p-values adjusted with Bonferroni corrections for multiple comparisons are reported and significant results (</w:t>
      </w:r>
      <m:oMath>
        <m:r>
          <w:rPr>
            <w:rFonts w:ascii="Cambria Math" w:hAnsi="Cambria Math"/>
            <w:color w:val="000000" w:themeColor="text1"/>
            <w:sz w:val="22"/>
            <w:szCs w:val="22"/>
          </w:rPr>
          <m:t>α</m:t>
        </m:r>
      </m:oMath>
      <w:r w:rsidRPr="004F15C7">
        <w:rPr>
          <w:color w:val="000000" w:themeColor="text1"/>
          <w:sz w:val="22"/>
          <w:szCs w:val="22"/>
          <w:lang w:val="en-US"/>
        </w:rPr>
        <w:t>&lt;.05) are highlighted in bold.</w:t>
      </w:r>
    </w:p>
    <w:p w14:paraId="188BB0DE" w14:textId="77777777" w:rsidR="00A22927" w:rsidRPr="00A22927" w:rsidRDefault="00A22927">
      <w:pPr>
        <w:rPr>
          <w:lang w:val="en-US"/>
        </w:rPr>
      </w:pPr>
    </w:p>
    <w:sectPr w:rsidR="00A22927" w:rsidRPr="00A229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927"/>
    <w:rsid w:val="00A2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7EF072E"/>
  <w15:chartTrackingRefBased/>
  <w15:docId w15:val="{0044AD04-47DF-C54C-8013-3328F0715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927"/>
    <w:rPr>
      <w:rFonts w:ascii="Times New Roman" w:eastAsia="Times New Roman" w:hAnsi="Times New Roman" w:cs="Times New Roman"/>
      <w:lang w:val="es-ES"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vidal</dc:creator>
  <cp:keywords/>
  <dc:description/>
  <cp:lastModifiedBy>alice vidal</cp:lastModifiedBy>
  <cp:revision>1</cp:revision>
  <dcterms:created xsi:type="dcterms:W3CDTF">2022-08-15T16:34:00Z</dcterms:created>
  <dcterms:modified xsi:type="dcterms:W3CDTF">2022-08-15T16:36:00Z</dcterms:modified>
</cp:coreProperties>
</file>