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F9D3" w14:textId="77777777" w:rsidR="002231C1" w:rsidRPr="004F15C7" w:rsidRDefault="002231C1" w:rsidP="002231C1">
      <w:pPr>
        <w:widowControl w:val="0"/>
        <w:autoSpaceDE w:val="0"/>
        <w:autoSpaceDN w:val="0"/>
        <w:adjustRightInd w:val="0"/>
        <w:rPr>
          <w:color w:val="000000" w:themeColor="text1"/>
          <w:sz w:val="22"/>
          <w:szCs w:val="22"/>
          <w:lang w:val="en-GB"/>
        </w:rPr>
      </w:pPr>
    </w:p>
    <w:tbl>
      <w:tblPr>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1803"/>
        <w:gridCol w:w="1803"/>
        <w:gridCol w:w="1803"/>
        <w:gridCol w:w="1804"/>
      </w:tblGrid>
      <w:tr w:rsidR="002231C1" w:rsidRPr="004F15C7" w14:paraId="261A04A5" w14:textId="77777777" w:rsidTr="007741F2">
        <w:trPr>
          <w:trHeight w:val="506"/>
          <w:jc w:val="center"/>
        </w:trPr>
        <w:tc>
          <w:tcPr>
            <w:tcW w:w="1803" w:type="dxa"/>
            <w:tcBorders>
              <w:left w:val="nil"/>
              <w:bottom w:val="single" w:sz="12" w:space="0" w:color="000000"/>
              <w:tl2br w:val="single" w:sz="4" w:space="0" w:color="auto"/>
            </w:tcBorders>
            <w:vAlign w:val="center"/>
          </w:tcPr>
          <w:p w14:paraId="51170265" w14:textId="77777777" w:rsidR="002231C1" w:rsidRPr="004F15C7" w:rsidRDefault="002231C1" w:rsidP="007741F2">
            <w:pPr>
              <w:jc w:val="right"/>
              <w:rPr>
                <w:color w:val="000000" w:themeColor="text1"/>
                <w:sz w:val="22"/>
                <w:szCs w:val="22"/>
                <w:lang w:val="en-GB"/>
              </w:rPr>
            </w:pPr>
            <w:r w:rsidRPr="004F15C7">
              <w:rPr>
                <w:color w:val="000000" w:themeColor="text1"/>
                <w:sz w:val="22"/>
                <w:szCs w:val="22"/>
                <w:lang w:val="en-GB"/>
              </w:rPr>
              <w:t>Designs</w:t>
            </w:r>
          </w:p>
          <w:p w14:paraId="7AC3C85C" w14:textId="77777777" w:rsidR="002231C1" w:rsidRPr="004F15C7" w:rsidRDefault="002231C1" w:rsidP="007741F2">
            <w:pPr>
              <w:rPr>
                <w:color w:val="000000" w:themeColor="text1"/>
                <w:sz w:val="22"/>
                <w:szCs w:val="22"/>
                <w:lang w:val="en-GB"/>
              </w:rPr>
            </w:pPr>
            <w:r w:rsidRPr="004F15C7">
              <w:rPr>
                <w:color w:val="000000" w:themeColor="text1"/>
                <w:sz w:val="22"/>
                <w:szCs w:val="22"/>
                <w:lang w:val="en-GB"/>
              </w:rPr>
              <w:t>tests</w:t>
            </w:r>
          </w:p>
        </w:tc>
        <w:tc>
          <w:tcPr>
            <w:tcW w:w="1803" w:type="dxa"/>
            <w:tcBorders>
              <w:bottom w:val="single" w:sz="12" w:space="0" w:color="000000"/>
              <w:right w:val="nil"/>
            </w:tcBorders>
            <w:vAlign w:val="center"/>
          </w:tcPr>
          <w:p w14:paraId="43EA724C" w14:textId="77777777" w:rsidR="002231C1" w:rsidRPr="004F15C7" w:rsidRDefault="002231C1" w:rsidP="007741F2">
            <w:pPr>
              <w:jc w:val="center"/>
              <w:rPr>
                <w:color w:val="000000" w:themeColor="text1"/>
                <w:sz w:val="22"/>
                <w:szCs w:val="22"/>
                <w:lang w:val="en-GB"/>
              </w:rPr>
            </w:pPr>
            <w:r w:rsidRPr="004F15C7">
              <w:rPr>
                <w:color w:val="000000" w:themeColor="text1"/>
                <w:sz w:val="22"/>
                <w:szCs w:val="22"/>
                <w:lang w:val="en-GB"/>
              </w:rPr>
              <w:t>B10</w:t>
            </w:r>
          </w:p>
        </w:tc>
        <w:tc>
          <w:tcPr>
            <w:tcW w:w="1803" w:type="dxa"/>
            <w:tcBorders>
              <w:left w:val="nil"/>
              <w:bottom w:val="single" w:sz="12" w:space="0" w:color="000000"/>
              <w:right w:val="nil"/>
            </w:tcBorders>
            <w:vAlign w:val="center"/>
          </w:tcPr>
          <w:p w14:paraId="142FB7A3" w14:textId="77777777" w:rsidR="002231C1" w:rsidRPr="004F15C7" w:rsidRDefault="002231C1" w:rsidP="007741F2">
            <w:pPr>
              <w:jc w:val="center"/>
              <w:rPr>
                <w:color w:val="000000" w:themeColor="text1"/>
                <w:sz w:val="22"/>
                <w:szCs w:val="22"/>
                <w:lang w:val="en-GB"/>
              </w:rPr>
            </w:pPr>
            <w:r w:rsidRPr="004F15C7">
              <w:rPr>
                <w:color w:val="000000" w:themeColor="text1"/>
                <w:sz w:val="22"/>
                <w:szCs w:val="22"/>
                <w:lang w:val="en-GB"/>
              </w:rPr>
              <w:t>W10</w:t>
            </w:r>
          </w:p>
        </w:tc>
        <w:tc>
          <w:tcPr>
            <w:tcW w:w="1803" w:type="dxa"/>
            <w:tcBorders>
              <w:left w:val="nil"/>
              <w:bottom w:val="single" w:sz="12" w:space="0" w:color="000000"/>
              <w:right w:val="nil"/>
            </w:tcBorders>
            <w:vAlign w:val="center"/>
          </w:tcPr>
          <w:p w14:paraId="05A49C85" w14:textId="77777777" w:rsidR="002231C1" w:rsidRPr="004F15C7" w:rsidRDefault="002231C1" w:rsidP="007741F2">
            <w:pPr>
              <w:jc w:val="center"/>
              <w:rPr>
                <w:color w:val="000000" w:themeColor="text1"/>
                <w:sz w:val="22"/>
                <w:szCs w:val="22"/>
                <w:lang w:val="en-GB"/>
              </w:rPr>
            </w:pPr>
            <w:r w:rsidRPr="004F15C7">
              <w:rPr>
                <w:color w:val="000000" w:themeColor="text1"/>
                <w:sz w:val="22"/>
                <w:szCs w:val="22"/>
                <w:lang w:val="en-GB"/>
              </w:rPr>
              <w:t>B32</w:t>
            </w:r>
          </w:p>
        </w:tc>
        <w:tc>
          <w:tcPr>
            <w:tcW w:w="1804" w:type="dxa"/>
            <w:tcBorders>
              <w:left w:val="nil"/>
              <w:bottom w:val="single" w:sz="12" w:space="0" w:color="000000"/>
              <w:right w:val="nil"/>
            </w:tcBorders>
            <w:vAlign w:val="center"/>
          </w:tcPr>
          <w:p w14:paraId="1715458E" w14:textId="77777777" w:rsidR="002231C1" w:rsidRPr="004F15C7" w:rsidRDefault="002231C1" w:rsidP="007741F2">
            <w:pPr>
              <w:jc w:val="center"/>
              <w:rPr>
                <w:color w:val="000000" w:themeColor="text1"/>
                <w:sz w:val="22"/>
                <w:szCs w:val="22"/>
                <w:lang w:val="en-GB"/>
              </w:rPr>
            </w:pPr>
            <w:r w:rsidRPr="004F15C7">
              <w:rPr>
                <w:color w:val="000000" w:themeColor="text1"/>
                <w:sz w:val="22"/>
                <w:szCs w:val="22"/>
                <w:lang w:val="en-GB"/>
              </w:rPr>
              <w:t>W32</w:t>
            </w:r>
          </w:p>
        </w:tc>
      </w:tr>
      <w:tr w:rsidR="002231C1" w:rsidRPr="004F15C7" w14:paraId="15B06BAF" w14:textId="77777777" w:rsidTr="007741F2">
        <w:trPr>
          <w:trHeight w:val="506"/>
          <w:jc w:val="center"/>
        </w:trPr>
        <w:tc>
          <w:tcPr>
            <w:tcW w:w="1803" w:type="dxa"/>
            <w:tcBorders>
              <w:top w:val="single" w:sz="12" w:space="0" w:color="000000"/>
              <w:left w:val="nil"/>
              <w:bottom w:val="single" w:sz="12" w:space="0" w:color="000000"/>
            </w:tcBorders>
            <w:vAlign w:val="center"/>
          </w:tcPr>
          <w:p w14:paraId="4F310049" w14:textId="77777777" w:rsidR="002231C1" w:rsidRPr="004F15C7" w:rsidRDefault="002231C1" w:rsidP="007741F2">
            <w:pPr>
              <w:jc w:val="center"/>
              <w:rPr>
                <w:color w:val="000000" w:themeColor="text1"/>
                <w:sz w:val="22"/>
                <w:szCs w:val="22"/>
                <w:lang w:val="en-GB"/>
              </w:rPr>
            </w:pPr>
            <w:r w:rsidRPr="004F15C7">
              <w:rPr>
                <w:color w:val="000000" w:themeColor="text1"/>
                <w:sz w:val="22"/>
                <w:szCs w:val="22"/>
                <w:lang w:val="en-GB"/>
              </w:rPr>
              <w:t>ANOVA</w:t>
            </w:r>
          </w:p>
        </w:tc>
        <w:tc>
          <w:tcPr>
            <w:tcW w:w="1803" w:type="dxa"/>
            <w:tcBorders>
              <w:top w:val="single" w:sz="12" w:space="0" w:color="000000"/>
              <w:bottom w:val="single" w:sz="12" w:space="0" w:color="000000"/>
              <w:right w:val="nil"/>
            </w:tcBorders>
            <w:shd w:val="clear" w:color="auto" w:fill="auto"/>
            <w:vAlign w:val="center"/>
          </w:tcPr>
          <w:p w14:paraId="25E4E243" w14:textId="77777777" w:rsidR="002231C1" w:rsidRPr="004F15C7" w:rsidRDefault="002231C1" w:rsidP="007741F2">
            <w:pPr>
              <w:jc w:val="center"/>
              <w:rPr>
                <w:rFonts w:ascii="Cambria Math" w:eastAsia="Cambria Math" w:hAnsi="Cambria Math" w:cs="Cambria Math"/>
                <w:b/>
                <w:bCs/>
                <w:color w:val="000000" w:themeColor="text1"/>
                <w:sz w:val="18"/>
                <w:szCs w:val="18"/>
                <w:lang w:val="en-GB"/>
              </w:rPr>
            </w:pPr>
            <m:oMathPara>
              <m:oMath>
                <m:sSubSup>
                  <m:sSubSupPr>
                    <m:ctrlPr>
                      <w:rPr>
                        <w:rFonts w:ascii="Cambria Math" w:eastAsia="Cambria Math" w:hAnsi="Cambria Math" w:cs="Cambria Math"/>
                        <w:b/>
                        <w:bCs/>
                        <w:color w:val="000000" w:themeColor="text1"/>
                        <w:sz w:val="18"/>
                        <w:szCs w:val="18"/>
                        <w:lang w:val="en-GB"/>
                      </w:rPr>
                    </m:ctrlPr>
                  </m:sSubSupPr>
                  <m:e>
                    <m:r>
                      <m:rPr>
                        <m:sty m:val="bi"/>
                      </m:rPr>
                      <w:rPr>
                        <w:rFonts w:ascii="Cambria Math" w:eastAsia="Cambria Math" w:hAnsi="Cambria Math" w:cs="Cambria Math"/>
                        <w:color w:val="000000" w:themeColor="text1"/>
                        <w:sz w:val="18"/>
                        <w:szCs w:val="18"/>
                        <w:lang w:val="en-GB"/>
                      </w:rPr>
                      <m:t>K-W χ</m:t>
                    </m:r>
                  </m:e>
                  <m:sub>
                    <m:r>
                      <m:rPr>
                        <m:sty m:val="bi"/>
                      </m:rPr>
                      <w:rPr>
                        <w:rFonts w:ascii="Cambria Math" w:eastAsia="Cambria Math" w:hAnsi="Cambria Math" w:cs="Cambria Math"/>
                        <w:color w:val="000000" w:themeColor="text1"/>
                        <w:sz w:val="18"/>
                        <w:szCs w:val="18"/>
                        <w:lang w:val="en-GB"/>
                      </w:rPr>
                      <m:t>2</m:t>
                    </m:r>
                  </m:sub>
                  <m:sup>
                    <m:r>
                      <m:rPr>
                        <m:sty m:val="bi"/>
                      </m:rPr>
                      <w:rPr>
                        <w:rFonts w:ascii="Cambria Math" w:eastAsia="Cambria Math" w:hAnsi="Cambria Math" w:cs="Cambria Math"/>
                        <w:color w:val="000000" w:themeColor="text1"/>
                        <w:sz w:val="18"/>
                        <w:szCs w:val="18"/>
                        <w:lang w:val="en-GB"/>
                      </w:rPr>
                      <m:t>2</m:t>
                    </m:r>
                  </m:sup>
                </m:sSubSup>
                <m:r>
                  <m:rPr>
                    <m:sty m:val="bi"/>
                  </m:rPr>
                  <w:rPr>
                    <w:rFonts w:ascii="Cambria Math" w:eastAsia="Cambria Math" w:hAnsi="Cambria Math" w:cs="Cambria Math"/>
                    <w:color w:val="000000" w:themeColor="text1"/>
                    <w:sz w:val="18"/>
                    <w:szCs w:val="18"/>
                    <w:lang w:val="en-GB"/>
                  </w:rPr>
                  <m:t>=14.18,</m:t>
                </m:r>
              </m:oMath>
            </m:oMathPara>
          </w:p>
          <w:p w14:paraId="58C8F3D6" w14:textId="77777777" w:rsidR="002231C1" w:rsidRPr="004F15C7" w:rsidRDefault="002231C1" w:rsidP="007741F2">
            <w:pPr>
              <w:jc w:val="center"/>
              <w:rPr>
                <w:rFonts w:ascii="Cambria Math" w:eastAsia="Cambria Math" w:hAnsi="Cambria Math" w:cs="Cambria Math"/>
                <w:b/>
                <w:bCs/>
                <w:color w:val="000000" w:themeColor="text1"/>
                <w:sz w:val="18"/>
                <w:szCs w:val="18"/>
                <w:lang w:val="en-GB"/>
              </w:rPr>
            </w:pPr>
            <m:oMathPara>
              <m:oMath>
                <m:r>
                  <m:rPr>
                    <m:sty m:val="bi"/>
                  </m:rPr>
                  <w:rPr>
                    <w:rFonts w:ascii="Cambria Math" w:eastAsia="Cambria Math" w:hAnsi="Cambria Math" w:cs="Cambria Math"/>
                    <w:color w:val="000000" w:themeColor="text1"/>
                    <w:sz w:val="18"/>
                    <w:szCs w:val="18"/>
                    <w:lang w:val="en-GB"/>
                  </w:rPr>
                  <m:t>p=8.35</m:t>
                </m:r>
                <m:sSup>
                  <m:sSupPr>
                    <m:ctrlPr>
                      <w:rPr>
                        <w:rFonts w:ascii="Cambria Math" w:eastAsia="Cambria Math" w:hAnsi="Cambria Math" w:cs="Cambria Math"/>
                        <w:b/>
                        <w:bCs/>
                        <w:color w:val="000000" w:themeColor="text1"/>
                        <w:sz w:val="18"/>
                        <w:szCs w:val="18"/>
                        <w:lang w:val="en-GB"/>
                      </w:rPr>
                    </m:ctrlPr>
                  </m:sSupPr>
                  <m:e>
                    <m:r>
                      <m:rPr>
                        <m:sty m:val="bi"/>
                      </m:rPr>
                      <w:rPr>
                        <w:rFonts w:ascii="Cambria Math" w:eastAsia="Cambria Math" w:hAnsi="Cambria Math" w:cs="Cambria Math"/>
                        <w:color w:val="000000" w:themeColor="text1"/>
                        <w:sz w:val="18"/>
                        <w:szCs w:val="18"/>
                        <w:lang w:val="en-GB"/>
                      </w:rPr>
                      <m:t>×10</m:t>
                    </m:r>
                  </m:e>
                  <m:sup>
                    <m:r>
                      <m:rPr>
                        <m:sty m:val="bi"/>
                      </m:rPr>
                      <w:rPr>
                        <w:rFonts w:ascii="Cambria Math" w:eastAsia="Cambria Math" w:hAnsi="Cambria Math" w:cs="Cambria Math"/>
                        <w:color w:val="000000" w:themeColor="text1"/>
                        <w:sz w:val="18"/>
                        <w:szCs w:val="18"/>
                        <w:lang w:val="en-GB"/>
                      </w:rPr>
                      <m:t>-4</m:t>
                    </m:r>
                  </m:sup>
                </m:sSup>
              </m:oMath>
            </m:oMathPara>
          </w:p>
        </w:tc>
        <w:tc>
          <w:tcPr>
            <w:tcW w:w="1803" w:type="dxa"/>
            <w:tcBorders>
              <w:top w:val="single" w:sz="12" w:space="0" w:color="000000"/>
              <w:left w:val="nil"/>
              <w:bottom w:val="single" w:sz="12" w:space="0" w:color="000000"/>
              <w:right w:val="nil"/>
            </w:tcBorders>
            <w:shd w:val="clear" w:color="auto" w:fill="auto"/>
            <w:vAlign w:val="center"/>
          </w:tcPr>
          <w:p w14:paraId="303F4E3B" w14:textId="77777777" w:rsidR="002231C1" w:rsidRPr="004F15C7" w:rsidRDefault="002231C1"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F</m:t>
                    </m:r>
                  </m:e>
                  <m:sub>
                    <m:r>
                      <m:rPr>
                        <m:sty m:val="bi"/>
                      </m:rPr>
                      <w:rPr>
                        <w:rFonts w:ascii="Cambria Math" w:eastAsia="Cambria Math" w:hAnsi="Cambria Math" w:cs="Cambria Math"/>
                        <w:color w:val="000000" w:themeColor="text1"/>
                        <w:sz w:val="18"/>
                        <w:szCs w:val="18"/>
                        <w:lang w:val="en-GB"/>
                      </w:rPr>
                      <m:t>1</m:t>
                    </m:r>
                  </m:sub>
                </m:sSub>
                <m:r>
                  <m:rPr>
                    <m:sty m:val="bi"/>
                  </m:rPr>
                  <w:rPr>
                    <w:rFonts w:ascii="Cambria Math" w:eastAsia="Cambria Math" w:hAnsi="Cambria Math" w:cs="Cambria Math"/>
                    <w:color w:val="000000" w:themeColor="text1"/>
                    <w:sz w:val="18"/>
                    <w:szCs w:val="18"/>
                    <w:lang w:val="en-GB"/>
                  </w:rPr>
                  <m:t>=25.56,</m:t>
                </m:r>
              </m:oMath>
            </m:oMathPara>
          </w:p>
          <w:p w14:paraId="07A90015" w14:textId="77777777" w:rsidR="002231C1" w:rsidRPr="004F15C7" w:rsidRDefault="002231C1" w:rsidP="007741F2">
            <w:pPr>
              <w:jc w:val="center"/>
              <w:rPr>
                <w:rFonts w:ascii="Cambria Math" w:eastAsia="Cambria Math" w:hAnsi="Cambria Math" w:cs="Cambria Math"/>
                <w:b/>
                <w:bCs/>
                <w:color w:val="000000" w:themeColor="text1"/>
                <w:sz w:val="18"/>
                <w:szCs w:val="18"/>
                <w:lang w:val="en-GB"/>
              </w:rPr>
            </w:pPr>
            <m:oMathPara>
              <m:oMath>
                <m:r>
                  <m:rPr>
                    <m:sty m:val="bi"/>
                  </m:rPr>
                  <w:rPr>
                    <w:rFonts w:ascii="Cambria Math" w:eastAsia="Cambria Math" w:hAnsi="Cambria Math" w:cs="Cambria Math"/>
                    <w:color w:val="000000" w:themeColor="text1"/>
                    <w:sz w:val="18"/>
                    <w:szCs w:val="18"/>
                    <w:lang w:val="en-GB"/>
                  </w:rPr>
                  <m:t>p=9.75</m:t>
                </m:r>
                <m:sSup>
                  <m:sSupPr>
                    <m:ctrlPr>
                      <w:rPr>
                        <w:rFonts w:ascii="Cambria Math" w:eastAsia="Cambria Math" w:hAnsi="Cambria Math" w:cs="Cambria Math"/>
                        <w:b/>
                        <w:bCs/>
                        <w:color w:val="000000" w:themeColor="text1"/>
                        <w:sz w:val="18"/>
                        <w:szCs w:val="18"/>
                        <w:lang w:val="en-GB"/>
                      </w:rPr>
                    </m:ctrlPr>
                  </m:sSupPr>
                  <m:e>
                    <m:r>
                      <m:rPr>
                        <m:sty m:val="bi"/>
                      </m:rPr>
                      <w:rPr>
                        <w:rFonts w:ascii="Cambria Math" w:eastAsia="Cambria Math" w:hAnsi="Cambria Math" w:cs="Cambria Math"/>
                        <w:color w:val="000000" w:themeColor="text1"/>
                        <w:sz w:val="18"/>
                        <w:szCs w:val="18"/>
                        <w:lang w:val="en-GB"/>
                      </w:rPr>
                      <m:t>×10</m:t>
                    </m:r>
                  </m:e>
                  <m:sup>
                    <m:r>
                      <m:rPr>
                        <m:sty m:val="bi"/>
                      </m:rPr>
                      <w:rPr>
                        <w:rFonts w:ascii="Cambria Math" w:eastAsia="Cambria Math" w:hAnsi="Cambria Math" w:cs="Cambria Math"/>
                        <w:color w:val="000000" w:themeColor="text1"/>
                        <w:sz w:val="18"/>
                        <w:szCs w:val="18"/>
                        <w:lang w:val="en-GB"/>
                      </w:rPr>
                      <m:t>-6</m:t>
                    </m:r>
                  </m:sup>
                </m:sSup>
              </m:oMath>
            </m:oMathPara>
          </w:p>
        </w:tc>
        <w:tc>
          <w:tcPr>
            <w:tcW w:w="1803" w:type="dxa"/>
            <w:tcBorders>
              <w:top w:val="single" w:sz="12" w:space="0" w:color="000000"/>
              <w:left w:val="nil"/>
              <w:bottom w:val="single" w:sz="12" w:space="0" w:color="000000"/>
              <w:right w:val="nil"/>
            </w:tcBorders>
            <w:shd w:val="clear" w:color="auto" w:fill="auto"/>
            <w:vAlign w:val="center"/>
          </w:tcPr>
          <w:p w14:paraId="7974E683" w14:textId="77777777" w:rsidR="002231C1" w:rsidRPr="004F15C7" w:rsidRDefault="002231C1"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F</m:t>
                    </m:r>
                  </m:e>
                  <m:sub>
                    <m:r>
                      <w:rPr>
                        <w:rFonts w:ascii="Cambria Math" w:eastAsia="Cambria Math" w:hAnsi="Cambria Math" w:cs="Cambria Math"/>
                        <w:color w:val="000000" w:themeColor="text1"/>
                        <w:sz w:val="18"/>
                        <w:szCs w:val="18"/>
                        <w:lang w:val="en-GB"/>
                      </w:rPr>
                      <m:t>1</m:t>
                    </m:r>
                  </m:sub>
                </m:sSub>
                <m:r>
                  <w:rPr>
                    <w:rFonts w:ascii="Cambria Math" w:eastAsia="Cambria Math" w:hAnsi="Cambria Math" w:cs="Cambria Math"/>
                    <w:color w:val="000000" w:themeColor="text1"/>
                    <w:sz w:val="18"/>
                    <w:szCs w:val="18"/>
                    <w:lang w:val="en-GB"/>
                  </w:rPr>
                  <m:t>=0.92,</m:t>
                </m:r>
              </m:oMath>
            </m:oMathPara>
          </w:p>
          <w:p w14:paraId="14BC3B56" w14:textId="77777777" w:rsidR="002231C1" w:rsidRPr="004F15C7" w:rsidRDefault="002231C1" w:rsidP="007741F2">
            <w:pPr>
              <w:jc w:val="center"/>
              <w:rPr>
                <w:rFonts w:ascii="Cambria Math" w:eastAsia="Cambria Math" w:hAnsi="Cambria Math" w:cs="Cambria Math"/>
                <w:color w:val="000000" w:themeColor="text1"/>
                <w:sz w:val="18"/>
                <w:szCs w:val="18"/>
                <w:lang w:val="en-GB"/>
              </w:rPr>
            </w:pPr>
            <m:oMathPara>
              <m:oMath>
                <m:r>
                  <w:rPr>
                    <w:rFonts w:ascii="Cambria Math" w:eastAsia="Cambria Math" w:hAnsi="Cambria Math" w:cs="Cambria Math"/>
                    <w:color w:val="000000" w:themeColor="text1"/>
                    <w:sz w:val="18"/>
                    <w:szCs w:val="18"/>
                    <w:lang w:val="en-GB"/>
                  </w:rPr>
                  <m:t>p=.34</m:t>
                </m:r>
              </m:oMath>
            </m:oMathPara>
          </w:p>
        </w:tc>
        <w:tc>
          <w:tcPr>
            <w:tcW w:w="1804" w:type="dxa"/>
            <w:tcBorders>
              <w:top w:val="single" w:sz="12" w:space="0" w:color="000000"/>
              <w:left w:val="nil"/>
              <w:bottom w:val="single" w:sz="12" w:space="0" w:color="000000"/>
              <w:right w:val="nil"/>
            </w:tcBorders>
            <w:shd w:val="clear" w:color="auto" w:fill="auto"/>
            <w:vAlign w:val="center"/>
          </w:tcPr>
          <w:p w14:paraId="143CFC94" w14:textId="77777777" w:rsidR="002231C1" w:rsidRPr="004F15C7" w:rsidRDefault="002231C1"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F</m:t>
                    </m:r>
                  </m:e>
                  <m:sub>
                    <m:r>
                      <m:rPr>
                        <m:sty m:val="bi"/>
                      </m:rPr>
                      <w:rPr>
                        <w:rFonts w:ascii="Cambria Math" w:eastAsia="Cambria Math" w:hAnsi="Cambria Math" w:cs="Cambria Math"/>
                        <w:color w:val="000000" w:themeColor="text1"/>
                        <w:sz w:val="18"/>
                        <w:szCs w:val="18"/>
                        <w:lang w:val="en-GB"/>
                      </w:rPr>
                      <m:t>1</m:t>
                    </m:r>
                  </m:sub>
                </m:sSub>
                <m:r>
                  <m:rPr>
                    <m:sty m:val="bi"/>
                  </m:rPr>
                  <w:rPr>
                    <w:rFonts w:ascii="Cambria Math" w:eastAsia="Cambria Math" w:hAnsi="Cambria Math" w:cs="Cambria Math"/>
                    <w:color w:val="000000" w:themeColor="text1"/>
                    <w:sz w:val="18"/>
                    <w:szCs w:val="18"/>
                    <w:lang w:val="en-GB"/>
                  </w:rPr>
                  <m:t>=13.62,</m:t>
                </m:r>
              </m:oMath>
            </m:oMathPara>
          </w:p>
          <w:p w14:paraId="02B2854C" w14:textId="77777777" w:rsidR="002231C1" w:rsidRPr="004F15C7" w:rsidRDefault="002231C1" w:rsidP="007741F2">
            <w:pPr>
              <w:jc w:val="center"/>
              <w:rPr>
                <w:rFonts w:ascii="Cambria Math" w:eastAsia="Cambria Math" w:hAnsi="Cambria Math" w:cs="Cambria Math"/>
                <w:color w:val="000000" w:themeColor="text1"/>
                <w:sz w:val="18"/>
                <w:szCs w:val="18"/>
                <w:lang w:val="en-GB"/>
              </w:rPr>
            </w:pPr>
            <m:oMathPara>
              <m:oMath>
                <m:r>
                  <m:rPr>
                    <m:sty m:val="bi"/>
                  </m:rPr>
                  <w:rPr>
                    <w:rFonts w:ascii="Cambria Math" w:eastAsia="Cambria Math" w:hAnsi="Cambria Math" w:cs="Cambria Math"/>
                    <w:color w:val="000000" w:themeColor="text1"/>
                    <w:sz w:val="18"/>
                    <w:szCs w:val="18"/>
                    <w:lang w:val="en-GB"/>
                  </w:rPr>
                  <m:t>p=.0018</m:t>
                </m:r>
              </m:oMath>
            </m:oMathPara>
          </w:p>
        </w:tc>
      </w:tr>
      <w:tr w:rsidR="002231C1" w:rsidRPr="004F15C7" w14:paraId="2F82EDA2" w14:textId="77777777" w:rsidTr="007741F2">
        <w:trPr>
          <w:trHeight w:val="506"/>
          <w:jc w:val="center"/>
        </w:trPr>
        <w:tc>
          <w:tcPr>
            <w:tcW w:w="1803" w:type="dxa"/>
            <w:tcBorders>
              <w:top w:val="single" w:sz="12" w:space="0" w:color="000000"/>
              <w:left w:val="nil"/>
              <w:bottom w:val="nil"/>
            </w:tcBorders>
            <w:shd w:val="clear" w:color="auto" w:fill="F2F2F2" w:themeFill="background1" w:themeFillShade="F2"/>
            <w:vAlign w:val="center"/>
          </w:tcPr>
          <w:p w14:paraId="2C1FDF76" w14:textId="77777777" w:rsidR="002231C1" w:rsidRPr="004F15C7" w:rsidRDefault="002231C1" w:rsidP="007741F2">
            <w:pPr>
              <w:jc w:val="center"/>
              <w:rPr>
                <w:color w:val="000000" w:themeColor="text1"/>
                <w:sz w:val="22"/>
                <w:szCs w:val="22"/>
                <w:lang w:val="en-GB"/>
              </w:rPr>
            </w:pPr>
            <w:r w:rsidRPr="004F15C7">
              <w:rPr>
                <w:color w:val="000000" w:themeColor="text1"/>
                <w:sz w:val="22"/>
                <w:szCs w:val="22"/>
                <w:lang w:val="en-GB"/>
              </w:rPr>
              <w:t>Poor vs. Neutral</w:t>
            </w:r>
          </w:p>
        </w:tc>
        <w:tc>
          <w:tcPr>
            <w:tcW w:w="1803" w:type="dxa"/>
            <w:tcBorders>
              <w:top w:val="single" w:sz="12" w:space="0" w:color="000000"/>
              <w:bottom w:val="nil"/>
              <w:right w:val="nil"/>
            </w:tcBorders>
            <w:shd w:val="clear" w:color="auto" w:fill="F2F2F2" w:themeFill="background1" w:themeFillShade="F2"/>
            <w:vAlign w:val="center"/>
          </w:tcPr>
          <w:p w14:paraId="5DCC75E7" w14:textId="77777777" w:rsidR="002231C1" w:rsidRPr="004F15C7" w:rsidRDefault="002231C1"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W</m:t>
                    </m:r>
                  </m:e>
                  <m:sub>
                    <m:r>
                      <m:rPr>
                        <m:sty m:val="bi"/>
                      </m:rPr>
                      <w:rPr>
                        <w:rFonts w:ascii="Cambria Math" w:eastAsia="Cambria Math" w:hAnsi="Cambria Math" w:cs="Cambria Math"/>
                        <w:color w:val="000000" w:themeColor="text1"/>
                        <w:sz w:val="18"/>
                        <w:szCs w:val="18"/>
                        <w:lang w:val="en-GB"/>
                      </w:rPr>
                      <m:t>15</m:t>
                    </m:r>
                  </m:sub>
                </m:sSub>
                <m:r>
                  <m:rPr>
                    <m:sty m:val="bi"/>
                  </m:rPr>
                  <w:rPr>
                    <w:rFonts w:ascii="Cambria Math" w:eastAsia="Cambria Math" w:hAnsi="Cambria Math" w:cs="Cambria Math"/>
                    <w:color w:val="000000" w:themeColor="text1"/>
                    <w:sz w:val="18"/>
                    <w:szCs w:val="18"/>
                    <w:lang w:val="en-GB"/>
                  </w:rPr>
                  <m:t>=200,</m:t>
                </m:r>
              </m:oMath>
            </m:oMathPara>
          </w:p>
          <w:p w14:paraId="07D3F610" w14:textId="77777777" w:rsidR="002231C1" w:rsidRPr="004F15C7" w:rsidRDefault="002231C1"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p</m:t>
                    </m:r>
                  </m:e>
                  <m:sub>
                    <m:r>
                      <m:rPr>
                        <m:sty m:val="bi"/>
                      </m:rPr>
                      <w:rPr>
                        <w:rFonts w:ascii="Cambria Math" w:eastAsia="Cambria Math" w:hAnsi="Cambria Math" w:cs="Cambria Math"/>
                        <w:color w:val="000000" w:themeColor="text1"/>
                        <w:sz w:val="18"/>
                        <w:szCs w:val="18"/>
                        <w:lang w:val="en-GB"/>
                      </w:rPr>
                      <m:t>adj</m:t>
                    </m:r>
                  </m:sub>
                </m:sSub>
                <m:r>
                  <m:rPr>
                    <m:sty m:val="bi"/>
                  </m:rPr>
                  <w:rPr>
                    <w:rFonts w:ascii="Cambria Math" w:eastAsia="Cambria Math" w:hAnsi="Cambria Math" w:cs="Cambria Math"/>
                    <w:color w:val="000000" w:themeColor="text1"/>
                    <w:sz w:val="18"/>
                    <w:szCs w:val="18"/>
                    <w:lang w:val="en-GB"/>
                  </w:rPr>
                  <m:t>=8.88</m:t>
                </m:r>
                <m:sSup>
                  <m:sSupPr>
                    <m:ctrlPr>
                      <w:rPr>
                        <w:rFonts w:ascii="Cambria Math" w:eastAsia="Cambria Math" w:hAnsi="Cambria Math" w:cs="Cambria Math"/>
                        <w:b/>
                        <w:bCs/>
                        <w:color w:val="000000" w:themeColor="text1"/>
                        <w:sz w:val="18"/>
                        <w:szCs w:val="18"/>
                        <w:lang w:val="en-GB"/>
                      </w:rPr>
                    </m:ctrlPr>
                  </m:sSupPr>
                  <m:e>
                    <m:r>
                      <m:rPr>
                        <m:sty m:val="bi"/>
                      </m:rPr>
                      <w:rPr>
                        <w:rFonts w:ascii="Cambria Math" w:eastAsia="Cambria Math" w:hAnsi="Cambria Math" w:cs="Cambria Math"/>
                        <w:color w:val="000000" w:themeColor="text1"/>
                        <w:sz w:val="18"/>
                        <w:szCs w:val="18"/>
                        <w:lang w:val="en-GB"/>
                      </w:rPr>
                      <m:t>×10</m:t>
                    </m:r>
                  </m:e>
                  <m:sup>
                    <m:r>
                      <m:rPr>
                        <m:sty m:val="bi"/>
                      </m:rPr>
                      <w:rPr>
                        <w:rFonts w:ascii="Cambria Math" w:eastAsia="Cambria Math" w:hAnsi="Cambria Math" w:cs="Cambria Math"/>
                        <w:color w:val="000000" w:themeColor="text1"/>
                        <w:sz w:val="18"/>
                        <w:szCs w:val="18"/>
                        <w:lang w:val="en-GB"/>
                      </w:rPr>
                      <m:t>-4</m:t>
                    </m:r>
                  </m:sup>
                </m:sSup>
              </m:oMath>
            </m:oMathPara>
          </w:p>
        </w:tc>
        <w:tc>
          <w:tcPr>
            <w:tcW w:w="1803" w:type="dxa"/>
            <w:tcBorders>
              <w:top w:val="single" w:sz="12" w:space="0" w:color="000000"/>
              <w:left w:val="nil"/>
              <w:bottom w:val="nil"/>
              <w:right w:val="nil"/>
            </w:tcBorders>
            <w:shd w:val="clear" w:color="auto" w:fill="F2F2F2" w:themeFill="background1" w:themeFillShade="F2"/>
            <w:vAlign w:val="center"/>
          </w:tcPr>
          <w:p w14:paraId="699380CD" w14:textId="77777777" w:rsidR="002231C1" w:rsidRPr="004F15C7" w:rsidRDefault="002231C1"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t</m:t>
                    </m:r>
                  </m:e>
                  <m:sub>
                    <m:r>
                      <m:rPr>
                        <m:sty m:val="bi"/>
                      </m:rPr>
                      <w:rPr>
                        <w:rFonts w:ascii="Cambria Math" w:eastAsia="Cambria Math" w:hAnsi="Cambria Math" w:cs="Cambria Math"/>
                        <w:color w:val="000000" w:themeColor="text1"/>
                        <w:sz w:val="18"/>
                        <w:szCs w:val="18"/>
                        <w:lang w:val="en-GB"/>
                      </w:rPr>
                      <m:t>17</m:t>
                    </m:r>
                  </m:sub>
                </m:sSub>
                <m:r>
                  <m:rPr>
                    <m:sty m:val="bi"/>
                  </m:rPr>
                  <w:rPr>
                    <w:rFonts w:ascii="Cambria Math" w:eastAsia="Cambria Math" w:hAnsi="Cambria Math" w:cs="Cambria Math"/>
                    <w:color w:val="000000" w:themeColor="text1"/>
                    <w:sz w:val="18"/>
                    <w:szCs w:val="18"/>
                    <w:lang w:val="en-GB"/>
                  </w:rPr>
                  <m:t>=3.22,</m:t>
                </m:r>
              </m:oMath>
            </m:oMathPara>
          </w:p>
          <w:p w14:paraId="5AC13321" w14:textId="77777777" w:rsidR="002231C1" w:rsidRPr="004F15C7" w:rsidRDefault="002231C1"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p</m:t>
                    </m:r>
                  </m:e>
                  <m:sub>
                    <m:r>
                      <m:rPr>
                        <m:sty m:val="bi"/>
                      </m:rPr>
                      <w:rPr>
                        <w:rFonts w:ascii="Cambria Math" w:eastAsia="Cambria Math" w:hAnsi="Cambria Math" w:cs="Cambria Math"/>
                        <w:color w:val="000000" w:themeColor="text1"/>
                        <w:sz w:val="18"/>
                        <w:szCs w:val="18"/>
                        <w:lang w:val="en-GB"/>
                      </w:rPr>
                      <m:t>adj</m:t>
                    </m:r>
                  </m:sub>
                </m:sSub>
                <m:r>
                  <m:rPr>
                    <m:sty m:val="bi"/>
                  </m:rPr>
                  <w:rPr>
                    <w:rFonts w:ascii="Cambria Math" w:eastAsia="Cambria Math" w:hAnsi="Cambria Math" w:cs="Cambria Math"/>
                    <w:color w:val="000000" w:themeColor="text1"/>
                    <w:sz w:val="18"/>
                    <w:szCs w:val="18"/>
                    <w:lang w:val="en-GB"/>
                  </w:rPr>
                  <m:t>=.015</m:t>
                </m:r>
              </m:oMath>
            </m:oMathPara>
          </w:p>
        </w:tc>
        <w:tc>
          <w:tcPr>
            <w:tcW w:w="1803" w:type="dxa"/>
            <w:tcBorders>
              <w:top w:val="single" w:sz="12" w:space="0" w:color="000000"/>
              <w:left w:val="nil"/>
              <w:bottom w:val="nil"/>
              <w:right w:val="nil"/>
            </w:tcBorders>
            <w:shd w:val="clear" w:color="auto" w:fill="F2F2F2" w:themeFill="background1" w:themeFillShade="F2"/>
            <w:vAlign w:val="center"/>
          </w:tcPr>
          <w:p w14:paraId="40D36017" w14:textId="77777777" w:rsidR="002231C1" w:rsidRPr="004F15C7" w:rsidRDefault="002231C1" w:rsidP="007741F2">
            <w:pPr>
              <w:jc w:val="center"/>
              <w:rPr>
                <w:color w:val="000000" w:themeColor="text1"/>
                <w:sz w:val="22"/>
                <w:szCs w:val="22"/>
                <w:lang w:val="en-GB"/>
              </w:rPr>
            </w:pPr>
            <w:r w:rsidRPr="004F15C7">
              <w:rPr>
                <w:color w:val="000000" w:themeColor="text1"/>
                <w:sz w:val="22"/>
                <w:szCs w:val="22"/>
                <w:lang w:val="en-GB"/>
              </w:rPr>
              <w:t>-</w:t>
            </w:r>
          </w:p>
        </w:tc>
        <w:tc>
          <w:tcPr>
            <w:tcW w:w="1804" w:type="dxa"/>
            <w:tcBorders>
              <w:top w:val="single" w:sz="12" w:space="0" w:color="000000"/>
              <w:left w:val="nil"/>
              <w:bottom w:val="nil"/>
              <w:right w:val="nil"/>
            </w:tcBorders>
            <w:shd w:val="clear" w:color="auto" w:fill="F2F2F2" w:themeFill="background1" w:themeFillShade="F2"/>
            <w:vAlign w:val="center"/>
          </w:tcPr>
          <w:p w14:paraId="081A29CD" w14:textId="77777777" w:rsidR="002231C1" w:rsidRPr="004F15C7" w:rsidRDefault="002231C1"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t</m:t>
                    </m:r>
                  </m:e>
                  <m:sub>
                    <m:r>
                      <w:rPr>
                        <w:rFonts w:ascii="Cambria Math" w:eastAsia="Cambria Math" w:hAnsi="Cambria Math" w:cs="Cambria Math"/>
                        <w:color w:val="000000" w:themeColor="text1"/>
                        <w:sz w:val="18"/>
                        <w:szCs w:val="18"/>
                        <w:lang w:val="en-GB"/>
                      </w:rPr>
                      <m:t>17</m:t>
                    </m:r>
                  </m:sub>
                </m:sSub>
                <m:r>
                  <w:rPr>
                    <w:rFonts w:ascii="Cambria Math" w:eastAsia="Cambria Math" w:hAnsi="Cambria Math" w:cs="Cambria Math"/>
                    <w:color w:val="000000" w:themeColor="text1"/>
                    <w:sz w:val="18"/>
                    <w:szCs w:val="18"/>
                    <w:lang w:val="en-GB"/>
                  </w:rPr>
                  <m:t>=2.48,</m:t>
                </m:r>
              </m:oMath>
            </m:oMathPara>
          </w:p>
          <w:p w14:paraId="6EC24FF9" w14:textId="77777777" w:rsidR="002231C1" w:rsidRPr="004F15C7" w:rsidRDefault="002231C1"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p</m:t>
                    </m:r>
                  </m:e>
                  <m:sub>
                    <m:r>
                      <w:rPr>
                        <w:rFonts w:ascii="Cambria Math" w:eastAsia="Cambria Math" w:hAnsi="Cambria Math" w:cs="Cambria Math"/>
                        <w:color w:val="000000" w:themeColor="text1"/>
                        <w:sz w:val="18"/>
                        <w:szCs w:val="18"/>
                        <w:lang w:val="en-GB"/>
                      </w:rPr>
                      <m:t>adj</m:t>
                    </m:r>
                  </m:sub>
                </m:sSub>
                <m:r>
                  <w:rPr>
                    <w:rFonts w:ascii="Cambria Math" w:eastAsia="Cambria Math" w:hAnsi="Cambria Math" w:cs="Cambria Math"/>
                    <w:color w:val="000000" w:themeColor="text1"/>
                    <w:sz w:val="18"/>
                    <w:szCs w:val="18"/>
                    <w:lang w:val="en-GB"/>
                  </w:rPr>
                  <m:t>=.071</m:t>
                </m:r>
              </m:oMath>
            </m:oMathPara>
          </w:p>
        </w:tc>
      </w:tr>
      <w:tr w:rsidR="002231C1" w:rsidRPr="004F15C7" w14:paraId="1D36883A" w14:textId="77777777" w:rsidTr="007741F2">
        <w:trPr>
          <w:trHeight w:val="506"/>
          <w:jc w:val="center"/>
        </w:trPr>
        <w:tc>
          <w:tcPr>
            <w:tcW w:w="1803" w:type="dxa"/>
            <w:tcBorders>
              <w:top w:val="nil"/>
              <w:left w:val="nil"/>
              <w:bottom w:val="nil"/>
            </w:tcBorders>
            <w:vAlign w:val="center"/>
          </w:tcPr>
          <w:p w14:paraId="4CE3222A" w14:textId="77777777" w:rsidR="002231C1" w:rsidRPr="004F15C7" w:rsidRDefault="002231C1" w:rsidP="007741F2">
            <w:pPr>
              <w:jc w:val="center"/>
              <w:rPr>
                <w:color w:val="000000" w:themeColor="text1"/>
                <w:sz w:val="22"/>
                <w:szCs w:val="22"/>
                <w:lang w:val="en-GB"/>
              </w:rPr>
            </w:pPr>
            <w:r w:rsidRPr="004F15C7">
              <w:rPr>
                <w:color w:val="000000" w:themeColor="text1"/>
                <w:sz w:val="22"/>
                <w:szCs w:val="22"/>
                <w:lang w:val="en-GB"/>
              </w:rPr>
              <w:t>Poor vs. Rich</w:t>
            </w:r>
          </w:p>
        </w:tc>
        <w:tc>
          <w:tcPr>
            <w:tcW w:w="1803" w:type="dxa"/>
            <w:tcBorders>
              <w:top w:val="nil"/>
              <w:bottom w:val="nil"/>
              <w:right w:val="nil"/>
            </w:tcBorders>
            <w:shd w:val="clear" w:color="auto" w:fill="auto"/>
            <w:vAlign w:val="center"/>
          </w:tcPr>
          <w:p w14:paraId="40A27595" w14:textId="77777777" w:rsidR="002231C1" w:rsidRPr="004F15C7" w:rsidRDefault="002231C1"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W</m:t>
                    </m:r>
                  </m:e>
                  <m:sub>
                    <m:r>
                      <m:rPr>
                        <m:sty m:val="bi"/>
                      </m:rPr>
                      <w:rPr>
                        <w:rFonts w:ascii="Cambria Math" w:eastAsia="Cambria Math" w:hAnsi="Cambria Math" w:cs="Cambria Math"/>
                        <w:color w:val="000000" w:themeColor="text1"/>
                        <w:sz w:val="18"/>
                        <w:szCs w:val="18"/>
                        <w:lang w:val="en-GB"/>
                      </w:rPr>
                      <m:t>15</m:t>
                    </m:r>
                  </m:sub>
                </m:sSub>
                <m:r>
                  <m:rPr>
                    <m:sty m:val="bi"/>
                  </m:rPr>
                  <w:rPr>
                    <w:rFonts w:ascii="Cambria Math" w:eastAsia="Cambria Math" w:hAnsi="Cambria Math" w:cs="Cambria Math"/>
                    <w:color w:val="000000" w:themeColor="text1"/>
                    <w:sz w:val="18"/>
                    <w:szCs w:val="18"/>
                    <w:lang w:val="en-GB"/>
                  </w:rPr>
                  <m:t>=181,</m:t>
                </m:r>
              </m:oMath>
            </m:oMathPara>
          </w:p>
          <w:p w14:paraId="3385A42E" w14:textId="77777777" w:rsidR="002231C1" w:rsidRPr="004F15C7" w:rsidRDefault="002231C1"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p</m:t>
                    </m:r>
                  </m:e>
                  <m:sub>
                    <m:r>
                      <m:rPr>
                        <m:sty m:val="bi"/>
                      </m:rPr>
                      <w:rPr>
                        <w:rFonts w:ascii="Cambria Math" w:eastAsia="Cambria Math" w:hAnsi="Cambria Math" w:cs="Cambria Math"/>
                        <w:color w:val="000000" w:themeColor="text1"/>
                        <w:sz w:val="18"/>
                        <w:szCs w:val="18"/>
                        <w:lang w:val="en-GB"/>
                      </w:rPr>
                      <m:t>adj</m:t>
                    </m:r>
                  </m:sub>
                </m:sSub>
                <m:r>
                  <m:rPr>
                    <m:sty m:val="bi"/>
                  </m:rPr>
                  <w:rPr>
                    <w:rFonts w:ascii="Cambria Math" w:eastAsia="Cambria Math" w:hAnsi="Cambria Math" w:cs="Cambria Math"/>
                    <w:color w:val="000000" w:themeColor="text1"/>
                    <w:sz w:val="18"/>
                    <w:szCs w:val="18"/>
                    <w:lang w:val="en-GB"/>
                  </w:rPr>
                  <m:t>=.013</m:t>
                </m:r>
              </m:oMath>
            </m:oMathPara>
          </w:p>
        </w:tc>
        <w:tc>
          <w:tcPr>
            <w:tcW w:w="1803" w:type="dxa"/>
            <w:tcBorders>
              <w:top w:val="nil"/>
              <w:left w:val="nil"/>
              <w:bottom w:val="nil"/>
              <w:right w:val="nil"/>
            </w:tcBorders>
            <w:shd w:val="clear" w:color="auto" w:fill="auto"/>
            <w:vAlign w:val="center"/>
          </w:tcPr>
          <w:p w14:paraId="28F84464" w14:textId="77777777" w:rsidR="002231C1" w:rsidRPr="004F15C7" w:rsidRDefault="002231C1"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t</m:t>
                    </m:r>
                  </m:e>
                  <m:sub>
                    <m:r>
                      <m:rPr>
                        <m:sty m:val="bi"/>
                      </m:rPr>
                      <w:rPr>
                        <w:rFonts w:ascii="Cambria Math" w:eastAsia="Cambria Math" w:hAnsi="Cambria Math" w:cs="Cambria Math"/>
                        <w:color w:val="000000" w:themeColor="text1"/>
                        <w:sz w:val="18"/>
                        <w:szCs w:val="18"/>
                        <w:lang w:val="en-GB"/>
                      </w:rPr>
                      <m:t>17</m:t>
                    </m:r>
                  </m:sub>
                </m:sSub>
                <m:r>
                  <m:rPr>
                    <m:sty m:val="bi"/>
                  </m:rPr>
                  <w:rPr>
                    <w:rFonts w:ascii="Cambria Math" w:eastAsia="Cambria Math" w:hAnsi="Cambria Math" w:cs="Cambria Math"/>
                    <w:color w:val="000000" w:themeColor="text1"/>
                    <w:sz w:val="18"/>
                    <w:szCs w:val="18"/>
                    <w:lang w:val="en-GB"/>
                  </w:rPr>
                  <m:t>=5.06,</m:t>
                </m:r>
              </m:oMath>
            </m:oMathPara>
          </w:p>
          <w:p w14:paraId="57647556" w14:textId="77777777" w:rsidR="002231C1" w:rsidRPr="004F15C7" w:rsidRDefault="002231C1"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p</m:t>
                    </m:r>
                  </m:e>
                  <m:sub>
                    <m:r>
                      <m:rPr>
                        <m:sty m:val="bi"/>
                      </m:rPr>
                      <w:rPr>
                        <w:rFonts w:ascii="Cambria Math" w:eastAsia="Cambria Math" w:hAnsi="Cambria Math" w:cs="Cambria Math"/>
                        <w:color w:val="000000" w:themeColor="text1"/>
                        <w:sz w:val="18"/>
                        <w:szCs w:val="18"/>
                        <w:lang w:val="en-GB"/>
                      </w:rPr>
                      <m:t>adj</m:t>
                    </m:r>
                  </m:sub>
                </m:sSub>
                <m:r>
                  <m:rPr>
                    <m:sty m:val="bi"/>
                  </m:rPr>
                  <w:rPr>
                    <w:rFonts w:ascii="Cambria Math" w:eastAsia="Cambria Math" w:hAnsi="Cambria Math" w:cs="Cambria Math"/>
                    <w:color w:val="000000" w:themeColor="text1"/>
                    <w:sz w:val="18"/>
                    <w:szCs w:val="18"/>
                    <w:lang w:val="en-GB"/>
                  </w:rPr>
                  <m:t>=2.92</m:t>
                </m:r>
                <m:sSup>
                  <m:sSupPr>
                    <m:ctrlPr>
                      <w:rPr>
                        <w:rFonts w:ascii="Cambria Math" w:eastAsia="Cambria Math" w:hAnsi="Cambria Math" w:cs="Cambria Math"/>
                        <w:b/>
                        <w:bCs/>
                        <w:color w:val="000000" w:themeColor="text1"/>
                        <w:sz w:val="18"/>
                        <w:szCs w:val="18"/>
                        <w:lang w:val="en-GB"/>
                      </w:rPr>
                    </m:ctrlPr>
                  </m:sSupPr>
                  <m:e>
                    <m:r>
                      <m:rPr>
                        <m:sty m:val="bi"/>
                      </m:rPr>
                      <w:rPr>
                        <w:rFonts w:ascii="Cambria Math" w:eastAsia="Cambria Math" w:hAnsi="Cambria Math" w:cs="Cambria Math"/>
                        <w:color w:val="000000" w:themeColor="text1"/>
                        <w:sz w:val="18"/>
                        <w:szCs w:val="18"/>
                        <w:lang w:val="en-GB"/>
                      </w:rPr>
                      <m:t>×10</m:t>
                    </m:r>
                  </m:e>
                  <m:sup>
                    <m:r>
                      <m:rPr>
                        <m:sty m:val="bi"/>
                      </m:rPr>
                      <w:rPr>
                        <w:rFonts w:ascii="Cambria Math" w:eastAsia="Cambria Math" w:hAnsi="Cambria Math" w:cs="Cambria Math"/>
                        <w:color w:val="000000" w:themeColor="text1"/>
                        <w:sz w:val="18"/>
                        <w:szCs w:val="18"/>
                        <w:lang w:val="en-GB"/>
                      </w:rPr>
                      <m:t>-4</m:t>
                    </m:r>
                  </m:sup>
                </m:sSup>
              </m:oMath>
            </m:oMathPara>
          </w:p>
        </w:tc>
        <w:tc>
          <w:tcPr>
            <w:tcW w:w="1803" w:type="dxa"/>
            <w:tcBorders>
              <w:top w:val="nil"/>
              <w:left w:val="nil"/>
              <w:bottom w:val="nil"/>
              <w:right w:val="nil"/>
            </w:tcBorders>
            <w:shd w:val="clear" w:color="auto" w:fill="auto"/>
            <w:vAlign w:val="center"/>
          </w:tcPr>
          <w:p w14:paraId="43F6493F" w14:textId="77777777" w:rsidR="002231C1" w:rsidRPr="004F15C7" w:rsidRDefault="002231C1" w:rsidP="007741F2">
            <w:pPr>
              <w:jc w:val="center"/>
              <w:rPr>
                <w:color w:val="000000" w:themeColor="text1"/>
                <w:sz w:val="22"/>
                <w:szCs w:val="22"/>
                <w:lang w:val="en-GB"/>
              </w:rPr>
            </w:pPr>
            <w:r w:rsidRPr="004F15C7">
              <w:rPr>
                <w:color w:val="000000" w:themeColor="text1"/>
                <w:sz w:val="22"/>
                <w:szCs w:val="22"/>
                <w:lang w:val="en-GB"/>
              </w:rPr>
              <w:t>-</w:t>
            </w:r>
          </w:p>
        </w:tc>
        <w:tc>
          <w:tcPr>
            <w:tcW w:w="1804" w:type="dxa"/>
            <w:tcBorders>
              <w:top w:val="nil"/>
              <w:left w:val="nil"/>
              <w:bottom w:val="nil"/>
              <w:right w:val="nil"/>
            </w:tcBorders>
            <w:shd w:val="clear" w:color="auto" w:fill="auto"/>
            <w:vAlign w:val="center"/>
          </w:tcPr>
          <w:p w14:paraId="5A64CA08" w14:textId="77777777" w:rsidR="002231C1" w:rsidRPr="004F15C7" w:rsidRDefault="002231C1" w:rsidP="007741F2">
            <w:pPr>
              <w:jc w:val="center"/>
              <w:rPr>
                <w:rFonts w:ascii="Cambria Math" w:eastAsia="Cambria Math" w:hAnsi="Cambria Math" w:cs="Cambria Math"/>
                <w:b/>
                <w:bCs/>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t</m:t>
                    </m:r>
                  </m:e>
                  <m:sub>
                    <m:r>
                      <m:rPr>
                        <m:sty m:val="bi"/>
                      </m:rPr>
                      <w:rPr>
                        <w:rFonts w:ascii="Cambria Math" w:eastAsia="Cambria Math" w:hAnsi="Cambria Math" w:cs="Cambria Math"/>
                        <w:color w:val="000000" w:themeColor="text1"/>
                        <w:sz w:val="18"/>
                        <w:szCs w:val="18"/>
                        <w:lang w:val="en-GB"/>
                      </w:rPr>
                      <m:t>17</m:t>
                    </m:r>
                  </m:sub>
                </m:sSub>
                <m:r>
                  <m:rPr>
                    <m:sty m:val="bi"/>
                  </m:rPr>
                  <w:rPr>
                    <w:rFonts w:ascii="Cambria Math" w:eastAsia="Cambria Math" w:hAnsi="Cambria Math" w:cs="Cambria Math"/>
                    <w:color w:val="000000" w:themeColor="text1"/>
                    <w:sz w:val="18"/>
                    <w:szCs w:val="18"/>
                    <w:lang w:val="en-GB"/>
                  </w:rPr>
                  <m:t>=3.69,</m:t>
                </m:r>
              </m:oMath>
            </m:oMathPara>
          </w:p>
          <w:p w14:paraId="67A76E12" w14:textId="77777777" w:rsidR="002231C1" w:rsidRPr="004F15C7" w:rsidRDefault="002231C1"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b/>
                        <w:bCs/>
                        <w:color w:val="000000" w:themeColor="text1"/>
                        <w:sz w:val="18"/>
                        <w:szCs w:val="18"/>
                        <w:lang w:val="en-GB"/>
                      </w:rPr>
                    </m:ctrlPr>
                  </m:sSubPr>
                  <m:e>
                    <m:r>
                      <m:rPr>
                        <m:sty m:val="bi"/>
                      </m:rPr>
                      <w:rPr>
                        <w:rFonts w:ascii="Cambria Math" w:eastAsia="Cambria Math" w:hAnsi="Cambria Math" w:cs="Cambria Math"/>
                        <w:color w:val="000000" w:themeColor="text1"/>
                        <w:sz w:val="18"/>
                        <w:szCs w:val="18"/>
                        <w:lang w:val="en-GB"/>
                      </w:rPr>
                      <m:t>p</m:t>
                    </m:r>
                  </m:e>
                  <m:sub>
                    <m:r>
                      <m:rPr>
                        <m:sty m:val="bi"/>
                      </m:rPr>
                      <w:rPr>
                        <w:rFonts w:ascii="Cambria Math" w:eastAsia="Cambria Math" w:hAnsi="Cambria Math" w:cs="Cambria Math"/>
                        <w:color w:val="000000" w:themeColor="text1"/>
                        <w:sz w:val="18"/>
                        <w:szCs w:val="18"/>
                        <w:lang w:val="en-GB"/>
                      </w:rPr>
                      <m:t>adj</m:t>
                    </m:r>
                  </m:sub>
                </m:sSub>
                <m:r>
                  <m:rPr>
                    <m:sty m:val="bi"/>
                  </m:rPr>
                  <w:rPr>
                    <w:rFonts w:ascii="Cambria Math" w:eastAsia="Cambria Math" w:hAnsi="Cambria Math" w:cs="Cambria Math"/>
                    <w:color w:val="000000" w:themeColor="text1"/>
                    <w:sz w:val="18"/>
                    <w:szCs w:val="18"/>
                    <w:lang w:val="en-GB"/>
                  </w:rPr>
                  <m:t>=.005</m:t>
                </m:r>
              </m:oMath>
            </m:oMathPara>
          </w:p>
        </w:tc>
      </w:tr>
      <w:tr w:rsidR="002231C1" w:rsidRPr="004F15C7" w14:paraId="6AFD32C1" w14:textId="77777777" w:rsidTr="007741F2">
        <w:trPr>
          <w:trHeight w:val="506"/>
          <w:jc w:val="center"/>
        </w:trPr>
        <w:tc>
          <w:tcPr>
            <w:tcW w:w="1803" w:type="dxa"/>
            <w:tcBorders>
              <w:top w:val="nil"/>
              <w:left w:val="nil"/>
            </w:tcBorders>
            <w:shd w:val="clear" w:color="auto" w:fill="F2F2F2" w:themeFill="background1" w:themeFillShade="F2"/>
            <w:vAlign w:val="center"/>
          </w:tcPr>
          <w:p w14:paraId="5014CAD2" w14:textId="77777777" w:rsidR="002231C1" w:rsidRPr="004F15C7" w:rsidRDefault="002231C1" w:rsidP="007741F2">
            <w:pPr>
              <w:jc w:val="center"/>
              <w:rPr>
                <w:color w:val="000000" w:themeColor="text1"/>
                <w:sz w:val="22"/>
                <w:szCs w:val="22"/>
                <w:lang w:val="en-GB"/>
              </w:rPr>
            </w:pPr>
            <w:r w:rsidRPr="004F15C7">
              <w:rPr>
                <w:color w:val="000000" w:themeColor="text1"/>
                <w:sz w:val="22"/>
                <w:szCs w:val="22"/>
                <w:lang w:val="en-GB"/>
              </w:rPr>
              <w:t>Neutral vs. Rich</w:t>
            </w:r>
          </w:p>
        </w:tc>
        <w:tc>
          <w:tcPr>
            <w:tcW w:w="1803" w:type="dxa"/>
            <w:tcBorders>
              <w:top w:val="nil"/>
              <w:right w:val="nil"/>
            </w:tcBorders>
            <w:shd w:val="clear" w:color="auto" w:fill="F2F2F2" w:themeFill="background1" w:themeFillShade="F2"/>
            <w:vAlign w:val="center"/>
          </w:tcPr>
          <w:p w14:paraId="48B5CB81" w14:textId="77777777" w:rsidR="002231C1" w:rsidRPr="004F15C7" w:rsidRDefault="002231C1"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W</m:t>
                    </m:r>
                  </m:e>
                  <m:sub>
                    <m:r>
                      <w:rPr>
                        <w:rFonts w:ascii="Cambria Math" w:eastAsia="Cambria Math" w:hAnsi="Cambria Math" w:cs="Cambria Math"/>
                        <w:color w:val="000000" w:themeColor="text1"/>
                        <w:sz w:val="18"/>
                        <w:szCs w:val="18"/>
                        <w:lang w:val="en-GB"/>
                      </w:rPr>
                      <m:t>15</m:t>
                    </m:r>
                  </m:sub>
                </m:sSub>
                <m:r>
                  <w:rPr>
                    <w:rFonts w:ascii="Cambria Math" w:eastAsia="Cambria Math" w:hAnsi="Cambria Math" w:cs="Cambria Math"/>
                    <w:color w:val="000000" w:themeColor="text1"/>
                    <w:sz w:val="18"/>
                    <w:szCs w:val="18"/>
                    <w:lang w:val="en-GB"/>
                  </w:rPr>
                  <m:t>=126,</m:t>
                </m:r>
              </m:oMath>
            </m:oMathPara>
          </w:p>
          <w:p w14:paraId="014CFF51" w14:textId="77777777" w:rsidR="002231C1" w:rsidRPr="004F15C7" w:rsidRDefault="002231C1"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p</m:t>
                    </m:r>
                  </m:e>
                  <m:sub>
                    <m:r>
                      <w:rPr>
                        <w:rFonts w:ascii="Cambria Math" w:eastAsia="Cambria Math" w:hAnsi="Cambria Math" w:cs="Cambria Math"/>
                        <w:color w:val="000000" w:themeColor="text1"/>
                        <w:sz w:val="18"/>
                        <w:szCs w:val="18"/>
                        <w:lang w:val="en-GB"/>
                      </w:rPr>
                      <m:t>adj</m:t>
                    </m:r>
                  </m:sub>
                </m:sSub>
                <m:r>
                  <w:rPr>
                    <w:rFonts w:ascii="Cambria Math" w:eastAsia="Cambria Math" w:hAnsi="Cambria Math" w:cs="Cambria Math"/>
                    <w:color w:val="000000" w:themeColor="text1"/>
                    <w:sz w:val="18"/>
                    <w:szCs w:val="18"/>
                    <w:lang w:val="en-GB"/>
                  </w:rPr>
                  <m:t>=1</m:t>
                </m:r>
              </m:oMath>
            </m:oMathPara>
          </w:p>
        </w:tc>
        <w:tc>
          <w:tcPr>
            <w:tcW w:w="1803" w:type="dxa"/>
            <w:tcBorders>
              <w:top w:val="nil"/>
              <w:left w:val="nil"/>
              <w:right w:val="nil"/>
            </w:tcBorders>
            <w:shd w:val="clear" w:color="auto" w:fill="F2F2F2" w:themeFill="background1" w:themeFillShade="F2"/>
            <w:vAlign w:val="center"/>
          </w:tcPr>
          <w:p w14:paraId="01EB65AD" w14:textId="77777777" w:rsidR="002231C1" w:rsidRPr="004F15C7" w:rsidRDefault="002231C1"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t</m:t>
                    </m:r>
                  </m:e>
                  <m:sub>
                    <m:r>
                      <w:rPr>
                        <w:rFonts w:ascii="Cambria Math" w:eastAsia="Cambria Math" w:hAnsi="Cambria Math" w:cs="Cambria Math"/>
                        <w:color w:val="000000" w:themeColor="text1"/>
                        <w:sz w:val="18"/>
                        <w:szCs w:val="18"/>
                        <w:lang w:val="en-GB"/>
                      </w:rPr>
                      <m:t>17</m:t>
                    </m:r>
                  </m:sub>
                </m:sSub>
                <m:r>
                  <w:rPr>
                    <w:rFonts w:ascii="Cambria Math" w:eastAsia="Cambria Math" w:hAnsi="Cambria Math" w:cs="Cambria Math"/>
                    <w:color w:val="000000" w:themeColor="text1"/>
                    <w:sz w:val="18"/>
                    <w:szCs w:val="18"/>
                    <w:lang w:val="en-GB"/>
                  </w:rPr>
                  <m:t>=0.218,</m:t>
                </m:r>
              </m:oMath>
            </m:oMathPara>
          </w:p>
          <w:p w14:paraId="3EA84782" w14:textId="77777777" w:rsidR="002231C1" w:rsidRPr="004F15C7" w:rsidRDefault="002231C1"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p</m:t>
                    </m:r>
                  </m:e>
                  <m:sub>
                    <m:r>
                      <w:rPr>
                        <w:rFonts w:ascii="Cambria Math" w:eastAsia="Cambria Math" w:hAnsi="Cambria Math" w:cs="Cambria Math"/>
                        <w:color w:val="000000" w:themeColor="text1"/>
                        <w:sz w:val="18"/>
                        <w:szCs w:val="18"/>
                        <w:lang w:val="en-GB"/>
                      </w:rPr>
                      <m:t>adj</m:t>
                    </m:r>
                  </m:sub>
                </m:sSub>
                <m:r>
                  <w:rPr>
                    <w:rFonts w:ascii="Cambria Math" w:eastAsia="Cambria Math" w:hAnsi="Cambria Math" w:cs="Cambria Math"/>
                    <w:color w:val="000000" w:themeColor="text1"/>
                    <w:sz w:val="18"/>
                    <w:szCs w:val="18"/>
                    <w:lang w:val="en-GB"/>
                  </w:rPr>
                  <m:t>=1</m:t>
                </m:r>
              </m:oMath>
            </m:oMathPara>
          </w:p>
        </w:tc>
        <w:tc>
          <w:tcPr>
            <w:tcW w:w="1803" w:type="dxa"/>
            <w:tcBorders>
              <w:top w:val="nil"/>
              <w:left w:val="nil"/>
              <w:right w:val="nil"/>
            </w:tcBorders>
            <w:shd w:val="clear" w:color="auto" w:fill="F2F2F2" w:themeFill="background1" w:themeFillShade="F2"/>
            <w:vAlign w:val="center"/>
          </w:tcPr>
          <w:p w14:paraId="58CC2B44" w14:textId="77777777" w:rsidR="002231C1" w:rsidRPr="004F15C7" w:rsidRDefault="002231C1" w:rsidP="007741F2">
            <w:pPr>
              <w:jc w:val="center"/>
              <w:rPr>
                <w:color w:val="000000" w:themeColor="text1"/>
                <w:sz w:val="22"/>
                <w:szCs w:val="22"/>
                <w:lang w:val="en-GB"/>
              </w:rPr>
            </w:pPr>
            <w:r w:rsidRPr="004F15C7">
              <w:rPr>
                <w:color w:val="000000" w:themeColor="text1"/>
                <w:sz w:val="22"/>
                <w:szCs w:val="22"/>
                <w:lang w:val="en-GB"/>
              </w:rPr>
              <w:t>-</w:t>
            </w:r>
          </w:p>
        </w:tc>
        <w:tc>
          <w:tcPr>
            <w:tcW w:w="1804" w:type="dxa"/>
            <w:tcBorders>
              <w:top w:val="nil"/>
              <w:left w:val="nil"/>
              <w:right w:val="nil"/>
            </w:tcBorders>
            <w:shd w:val="clear" w:color="auto" w:fill="F2F2F2" w:themeFill="background1" w:themeFillShade="F2"/>
            <w:vAlign w:val="center"/>
          </w:tcPr>
          <w:p w14:paraId="2BA4A38D" w14:textId="77777777" w:rsidR="002231C1" w:rsidRPr="004F15C7" w:rsidRDefault="002231C1"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t</m:t>
                    </m:r>
                  </m:e>
                  <m:sub>
                    <m:r>
                      <w:rPr>
                        <w:rFonts w:ascii="Cambria Math" w:eastAsia="Cambria Math" w:hAnsi="Cambria Math" w:cs="Cambria Math"/>
                        <w:color w:val="000000" w:themeColor="text1"/>
                        <w:sz w:val="18"/>
                        <w:szCs w:val="18"/>
                        <w:lang w:val="en-GB"/>
                      </w:rPr>
                      <m:t>17</m:t>
                    </m:r>
                  </m:sub>
                </m:sSub>
                <m:r>
                  <w:rPr>
                    <w:rFonts w:ascii="Cambria Math" w:eastAsia="Cambria Math" w:hAnsi="Cambria Math" w:cs="Cambria Math"/>
                    <w:color w:val="000000" w:themeColor="text1"/>
                    <w:sz w:val="18"/>
                    <w:szCs w:val="18"/>
                    <w:lang w:val="en-GB"/>
                  </w:rPr>
                  <m:t>=1.67,</m:t>
                </m:r>
              </m:oMath>
            </m:oMathPara>
          </w:p>
          <w:p w14:paraId="66231583" w14:textId="77777777" w:rsidR="002231C1" w:rsidRPr="004F15C7" w:rsidRDefault="002231C1" w:rsidP="007741F2">
            <w:pPr>
              <w:jc w:val="center"/>
              <w:rPr>
                <w:rFonts w:ascii="Cambria Math" w:eastAsia="Cambria Math" w:hAnsi="Cambria Math" w:cs="Cambria Math"/>
                <w:color w:val="000000" w:themeColor="text1"/>
                <w:sz w:val="18"/>
                <w:szCs w:val="18"/>
                <w:lang w:val="en-GB"/>
              </w:rPr>
            </w:pPr>
            <m:oMathPara>
              <m:oMath>
                <m:sSub>
                  <m:sSubPr>
                    <m:ctrlPr>
                      <w:rPr>
                        <w:rFonts w:ascii="Cambria Math" w:eastAsia="Cambria Math" w:hAnsi="Cambria Math" w:cs="Cambria Math"/>
                        <w:color w:val="000000" w:themeColor="text1"/>
                        <w:sz w:val="18"/>
                        <w:szCs w:val="18"/>
                        <w:lang w:val="en-GB"/>
                      </w:rPr>
                    </m:ctrlPr>
                  </m:sSubPr>
                  <m:e>
                    <m:r>
                      <w:rPr>
                        <w:rFonts w:ascii="Cambria Math" w:eastAsia="Cambria Math" w:hAnsi="Cambria Math" w:cs="Cambria Math"/>
                        <w:color w:val="000000" w:themeColor="text1"/>
                        <w:sz w:val="18"/>
                        <w:szCs w:val="18"/>
                        <w:lang w:val="en-GB"/>
                      </w:rPr>
                      <m:t>p</m:t>
                    </m:r>
                  </m:e>
                  <m:sub>
                    <m:r>
                      <w:rPr>
                        <w:rFonts w:ascii="Cambria Math" w:eastAsia="Cambria Math" w:hAnsi="Cambria Math" w:cs="Cambria Math"/>
                        <w:color w:val="000000" w:themeColor="text1"/>
                        <w:sz w:val="18"/>
                        <w:szCs w:val="18"/>
                        <w:lang w:val="en-GB"/>
                      </w:rPr>
                      <m:t>adj</m:t>
                    </m:r>
                  </m:sub>
                </m:sSub>
                <m:r>
                  <w:rPr>
                    <w:rFonts w:ascii="Cambria Math" w:eastAsia="Cambria Math" w:hAnsi="Cambria Math" w:cs="Cambria Math"/>
                    <w:color w:val="000000" w:themeColor="text1"/>
                    <w:sz w:val="18"/>
                    <w:szCs w:val="18"/>
                    <w:lang w:val="en-GB"/>
                  </w:rPr>
                  <m:t>=.342</m:t>
                </m:r>
              </m:oMath>
            </m:oMathPara>
          </w:p>
        </w:tc>
      </w:tr>
    </w:tbl>
    <w:p w14:paraId="0E911319" w14:textId="77777777" w:rsidR="002231C1" w:rsidRPr="004F15C7" w:rsidRDefault="002231C1" w:rsidP="002231C1">
      <w:pPr>
        <w:widowControl w:val="0"/>
        <w:autoSpaceDE w:val="0"/>
        <w:autoSpaceDN w:val="0"/>
        <w:adjustRightInd w:val="0"/>
        <w:rPr>
          <w:color w:val="000000" w:themeColor="text1"/>
          <w:sz w:val="22"/>
          <w:szCs w:val="22"/>
          <w:lang w:val="en-GB"/>
        </w:rPr>
      </w:pPr>
    </w:p>
    <w:p w14:paraId="6E9658A8" w14:textId="77777777" w:rsidR="002231C1" w:rsidRPr="004F15C7" w:rsidRDefault="002231C1" w:rsidP="002231C1">
      <w:pPr>
        <w:jc w:val="both"/>
        <w:rPr>
          <w:color w:val="000000" w:themeColor="text1"/>
          <w:sz w:val="22"/>
          <w:szCs w:val="22"/>
          <w:lang w:val="en-GB"/>
        </w:rPr>
      </w:pPr>
      <w:r w:rsidRPr="004F15C7">
        <w:rPr>
          <w:b/>
          <w:i/>
          <w:color w:val="000000" w:themeColor="text1"/>
          <w:sz w:val="22"/>
          <w:szCs w:val="22"/>
          <w:lang w:val="en-GB"/>
        </w:rPr>
        <w:t>Table S</w:t>
      </w:r>
      <w:r>
        <w:rPr>
          <w:b/>
          <w:i/>
          <w:color w:val="000000" w:themeColor="text1"/>
          <w:sz w:val="22"/>
          <w:szCs w:val="22"/>
          <w:lang w:val="en-GB"/>
        </w:rPr>
        <w:t>8</w:t>
      </w:r>
      <w:r w:rsidRPr="004F15C7">
        <w:rPr>
          <w:color w:val="000000" w:themeColor="text1"/>
          <w:sz w:val="22"/>
          <w:szCs w:val="22"/>
          <w:lang w:val="en-GB"/>
        </w:rPr>
        <w:t xml:space="preserve">. Summary of the comparisons between the individual AIC in each environment and experimental design using Binomial distributed noise. In the first row are displays results of the effect of environment on the value of AIC using ANOVA or non-parametric equivalent. Underneath </w:t>
      </w:r>
      <w:proofErr w:type="gramStart"/>
      <w:r w:rsidRPr="004F15C7">
        <w:rPr>
          <w:color w:val="000000" w:themeColor="text1"/>
          <w:sz w:val="22"/>
          <w:szCs w:val="22"/>
          <w:lang w:val="en-GB"/>
        </w:rPr>
        <w:t>are</w:t>
      </w:r>
      <w:proofErr w:type="gramEnd"/>
      <w:r w:rsidRPr="004F15C7">
        <w:rPr>
          <w:color w:val="000000" w:themeColor="text1"/>
          <w:sz w:val="22"/>
          <w:szCs w:val="22"/>
          <w:lang w:val="en-GB"/>
        </w:rPr>
        <w:t xml:space="preserve"> displayed the results of post-hoc comparisons between each environment (if applicable). P-values are adjusted with Bonferroni corrections and significative differences (</w:t>
      </w:r>
      <w:r w:rsidRPr="004F15C7">
        <w:rPr>
          <w:i/>
          <w:color w:val="000000" w:themeColor="text1"/>
          <w:sz w:val="22"/>
          <w:szCs w:val="22"/>
          <w:lang w:val="en-GB"/>
        </w:rPr>
        <w:t>p</w:t>
      </w:r>
      <w:r w:rsidRPr="004F15C7">
        <w:rPr>
          <w:color w:val="000000" w:themeColor="text1"/>
          <w:sz w:val="22"/>
          <w:szCs w:val="22"/>
          <w:lang w:val="en-GB"/>
        </w:rPr>
        <w:t xml:space="preserve"> &lt;.05) are highlighted in bold. </w:t>
      </w:r>
    </w:p>
    <w:p w14:paraId="03767937" w14:textId="77777777" w:rsidR="002231C1" w:rsidRPr="002231C1" w:rsidRDefault="002231C1">
      <w:pPr>
        <w:rPr>
          <w:lang w:val="en-US"/>
        </w:rPr>
      </w:pPr>
    </w:p>
    <w:sectPr w:rsidR="002231C1" w:rsidRPr="002231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1C1"/>
    <w:rsid w:val="002231C1"/>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058BF4A7"/>
  <w15:chartTrackingRefBased/>
  <w15:docId w15:val="{EE302D3B-B4F3-724F-BA30-98DDE1D8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1C1"/>
    <w:rPr>
      <w:rFonts w:ascii="Times New Roman" w:eastAsia="Times New Roman" w:hAnsi="Times New Roman" w:cs="Times New Roman"/>
      <w:lang w:val="es-ES" w:eastAsia="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vidal</dc:creator>
  <cp:keywords/>
  <dc:description/>
  <cp:lastModifiedBy>alice vidal</cp:lastModifiedBy>
  <cp:revision>1</cp:revision>
  <dcterms:created xsi:type="dcterms:W3CDTF">2022-08-15T16:51:00Z</dcterms:created>
  <dcterms:modified xsi:type="dcterms:W3CDTF">2022-08-15T16:51:00Z</dcterms:modified>
</cp:coreProperties>
</file>