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011888" w14:textId="385D773D" w:rsidR="00544C83" w:rsidRPr="00EE0D6E" w:rsidRDefault="00544C83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0D6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Work involving animal research for </w:t>
      </w:r>
      <w:r w:rsidR="002E4B81" w:rsidRPr="00EE0D6E">
        <w:rPr>
          <w:rFonts w:asciiTheme="minorHAnsi" w:hAnsiTheme="minorHAnsi" w:cstheme="minorHAnsi"/>
          <w:b/>
          <w:bCs/>
          <w:sz w:val="22"/>
          <w:szCs w:val="22"/>
        </w:rPr>
        <w:t>visceral sensitivity measurement</w:t>
      </w:r>
    </w:p>
    <w:p w14:paraId="50832350" w14:textId="529C83AB" w:rsidR="0052342F" w:rsidRPr="00EE0D6E" w:rsidRDefault="0052342F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E0D6E">
        <w:rPr>
          <w:rFonts w:asciiTheme="minorHAnsi" w:hAnsiTheme="minorHAnsi" w:cstheme="minorHAnsi"/>
          <w:sz w:val="22"/>
          <w:szCs w:val="22"/>
          <w:u w:val="single"/>
        </w:rPr>
        <w:t>Ethical statement</w:t>
      </w:r>
      <w:r w:rsidRPr="00EE0D6E">
        <w:rPr>
          <w:rFonts w:asciiTheme="minorHAnsi" w:hAnsiTheme="minorHAnsi" w:cstheme="minorHAnsi"/>
          <w:sz w:val="22"/>
          <w:szCs w:val="22"/>
        </w:rPr>
        <w:t xml:space="preserve">: </w:t>
      </w:r>
      <w:r w:rsidR="002E4B81" w:rsidRPr="00EE0D6E">
        <w:rPr>
          <w:rFonts w:asciiTheme="minorHAnsi" w:hAnsiTheme="minorHAnsi" w:cstheme="minorHAnsi"/>
          <w:sz w:val="22"/>
          <w:szCs w:val="22"/>
        </w:rPr>
        <w:t xml:space="preserve">Animals were </w:t>
      </w:r>
      <w:r w:rsidR="00544C83" w:rsidRPr="00EE0D6E">
        <w:rPr>
          <w:rFonts w:asciiTheme="minorHAnsi" w:hAnsiTheme="minorHAnsi" w:cstheme="minorHAnsi"/>
          <w:sz w:val="22"/>
          <w:szCs w:val="22"/>
        </w:rPr>
        <w:t>used by strictly following the national and European guidelines and laws regarding the use of animals in experiment</w:t>
      </w:r>
      <w:r w:rsidR="002E4B81" w:rsidRPr="00EE0D6E">
        <w:rPr>
          <w:rFonts w:asciiTheme="minorHAnsi" w:hAnsiTheme="minorHAnsi" w:cstheme="minorHAnsi"/>
          <w:sz w:val="22"/>
          <w:szCs w:val="22"/>
        </w:rPr>
        <w:t>ation (EU Directive 2010/63/EU)</w:t>
      </w:r>
      <w:r w:rsidR="00B42099" w:rsidRPr="00EE0D6E">
        <w:rPr>
          <w:rFonts w:asciiTheme="minorHAnsi" w:hAnsiTheme="minorHAnsi" w:cstheme="minorHAnsi"/>
          <w:sz w:val="22"/>
          <w:szCs w:val="22"/>
        </w:rPr>
        <w:t xml:space="preserve"> and according to the </w:t>
      </w:r>
      <w:r w:rsidR="00B42099" w:rsidRPr="00EE0D6E">
        <w:rPr>
          <w:rFonts w:asciiTheme="minorHAnsi" w:hAnsiTheme="minorHAnsi" w:cstheme="minorHAnsi"/>
          <w:bCs/>
          <w:sz w:val="22"/>
          <w:szCs w:val="22"/>
        </w:rPr>
        <w:t xml:space="preserve">ARRIVE guidelines. </w:t>
      </w:r>
      <w:r w:rsidR="00B42099" w:rsidRPr="00EE0D6E">
        <w:rPr>
          <w:rFonts w:asciiTheme="minorHAnsi" w:hAnsiTheme="minorHAnsi" w:cstheme="minorHAnsi"/>
          <w:sz w:val="22"/>
          <w:szCs w:val="22"/>
        </w:rPr>
        <w:t>All experiments were approved by the Local Animal Care and Use Committee (APAFIS#5577-201606061639777v3</w:t>
      </w:r>
      <w:r w:rsidR="008449A3">
        <w:rPr>
          <w:rFonts w:asciiTheme="minorHAnsi" w:hAnsiTheme="minorHAnsi" w:cstheme="minorHAnsi"/>
          <w:sz w:val="22"/>
          <w:szCs w:val="22"/>
        </w:rPr>
        <w:t xml:space="preserve"> and </w:t>
      </w:r>
      <w:r w:rsidR="008449A3" w:rsidRPr="008449A3">
        <w:rPr>
          <w:rFonts w:asciiTheme="minorHAnsi" w:hAnsiTheme="minorHAnsi" w:cstheme="minorHAnsi"/>
          <w:sz w:val="22"/>
          <w:szCs w:val="22"/>
        </w:rPr>
        <w:t>APAFiS#14898-2018043016031426</w:t>
      </w:r>
      <w:r w:rsidR="00B42099" w:rsidRPr="00EE0D6E">
        <w:rPr>
          <w:rFonts w:asciiTheme="minorHAnsi" w:hAnsiTheme="minorHAnsi" w:cstheme="minorHAnsi"/>
          <w:sz w:val="22"/>
          <w:szCs w:val="22"/>
        </w:rPr>
        <w:t>)</w:t>
      </w:r>
      <w:r w:rsidR="00EE0D6E">
        <w:rPr>
          <w:rFonts w:asciiTheme="minorHAnsi" w:hAnsiTheme="minorHAnsi" w:cstheme="minorHAnsi"/>
          <w:sz w:val="22"/>
          <w:szCs w:val="22"/>
        </w:rPr>
        <w:t>.</w:t>
      </w:r>
      <w:r w:rsidR="00B42099" w:rsidRPr="00EE0D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305D7" w14:textId="37B532FA" w:rsidR="00877644" w:rsidRPr="00EE0D6E" w:rsidRDefault="0052342F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E0D6E">
        <w:rPr>
          <w:rFonts w:asciiTheme="minorHAnsi" w:hAnsiTheme="minorHAnsi" w:cstheme="minorHAnsi"/>
          <w:sz w:val="22"/>
          <w:szCs w:val="22"/>
          <w:u w:val="single"/>
        </w:rPr>
        <w:t>Study design, experimental animals, housing, experimental procedures</w:t>
      </w:r>
      <w:r w:rsidRPr="00EE0D6E">
        <w:rPr>
          <w:rFonts w:asciiTheme="minorHAnsi" w:hAnsiTheme="minorHAnsi" w:cstheme="minorHAnsi"/>
          <w:sz w:val="22"/>
          <w:szCs w:val="22"/>
        </w:rPr>
        <w:t xml:space="preserve">: </w:t>
      </w:r>
      <w:r w:rsidR="00B42099" w:rsidRPr="00EE0D6E">
        <w:rPr>
          <w:rFonts w:asciiTheme="minorHAnsi" w:hAnsiTheme="minorHAnsi" w:cstheme="minorHAnsi"/>
          <w:sz w:val="22"/>
          <w:szCs w:val="22"/>
        </w:rPr>
        <w:t>see sections Materials and Methods</w:t>
      </w:r>
      <w:r w:rsidR="00EE0D6E">
        <w:rPr>
          <w:rFonts w:asciiTheme="minorHAnsi" w:hAnsiTheme="minorHAnsi" w:cstheme="minorHAnsi"/>
          <w:sz w:val="22"/>
          <w:szCs w:val="22"/>
        </w:rPr>
        <w:t xml:space="preserve">, </w:t>
      </w:r>
      <w:r w:rsidR="00B42099" w:rsidRPr="00EE0D6E">
        <w:rPr>
          <w:rFonts w:asciiTheme="minorHAnsi" w:hAnsiTheme="minorHAnsi" w:cstheme="minorHAnsi"/>
          <w:sz w:val="22"/>
          <w:szCs w:val="22"/>
        </w:rPr>
        <w:t>Animals and surgical procedure</w:t>
      </w:r>
      <w:r w:rsidR="007C0A8C">
        <w:rPr>
          <w:rFonts w:asciiTheme="minorHAnsi" w:hAnsiTheme="minorHAnsi" w:cstheme="minorHAnsi"/>
          <w:sz w:val="22"/>
          <w:szCs w:val="22"/>
        </w:rPr>
        <w:t xml:space="preserve"> (4.3)</w:t>
      </w:r>
      <w:r w:rsidR="00B42099" w:rsidRPr="00EE0D6E">
        <w:rPr>
          <w:rFonts w:asciiTheme="minorHAnsi" w:hAnsiTheme="minorHAnsi" w:cstheme="minorHAnsi"/>
          <w:sz w:val="22"/>
          <w:szCs w:val="22"/>
        </w:rPr>
        <w:t xml:space="preserve">, </w:t>
      </w:r>
      <w:r w:rsidR="00B42099" w:rsidRPr="00EE0D6E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>Colorectal distension procedure and acute stress procedure</w:t>
      </w:r>
      <w:r w:rsidR="007C0A8C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 xml:space="preserve"> (4.4)</w:t>
      </w:r>
      <w:r w:rsidR="00B42099" w:rsidRPr="00EE0D6E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 xml:space="preserve">, Experimental protocol for </w:t>
      </w:r>
      <w:r w:rsidR="00B42099" w:rsidRPr="00EE0D6E">
        <w:rPr>
          <w:rFonts w:asciiTheme="minorHAnsi" w:eastAsia="Times New Roman" w:hAnsiTheme="minorHAnsi" w:cstheme="minorHAnsi"/>
          <w:i/>
          <w:sz w:val="22"/>
          <w:szCs w:val="22"/>
          <w:lang w:val="en-GB" w:eastAsia="it-IT"/>
        </w:rPr>
        <w:t>in vivo</w:t>
      </w:r>
      <w:r w:rsidR="00B42099" w:rsidRPr="00EE0D6E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 xml:space="preserve"> assays</w:t>
      </w:r>
      <w:r w:rsidR="007C0A8C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 xml:space="preserve"> under PRS conditions (4.5.1)</w:t>
      </w:r>
      <w:r w:rsidRPr="00EE0D6E">
        <w:rPr>
          <w:rFonts w:asciiTheme="minorHAnsi" w:eastAsia="Times New Roman" w:hAnsiTheme="minorHAnsi" w:cstheme="minorHAnsi"/>
          <w:sz w:val="22"/>
          <w:szCs w:val="22"/>
          <w:lang w:val="en-GB" w:eastAsia="it-IT"/>
        </w:rPr>
        <w:t xml:space="preserve">. </w:t>
      </w:r>
    </w:p>
    <w:p w14:paraId="4B4B3EA6" w14:textId="44B9F954" w:rsidR="002E4B81" w:rsidRPr="00EE0D6E" w:rsidRDefault="0052342F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E0D6E">
        <w:rPr>
          <w:rFonts w:asciiTheme="minorHAnsi" w:hAnsiTheme="minorHAnsi" w:cstheme="minorHAnsi"/>
          <w:sz w:val="22"/>
          <w:szCs w:val="22"/>
          <w:u w:val="single"/>
        </w:rPr>
        <w:t>Sample size:</w:t>
      </w:r>
      <w:r w:rsidRPr="00EE0D6E">
        <w:rPr>
          <w:rFonts w:asciiTheme="minorHAnsi" w:hAnsiTheme="minorHAnsi" w:cstheme="minorHAnsi"/>
          <w:sz w:val="22"/>
          <w:szCs w:val="22"/>
        </w:rPr>
        <w:t xml:space="preserve"> no power calculation was used. In this preclinical study, for each set of experiments, groups of 7 to 12 female rats were considered by performing </w:t>
      </w:r>
      <w:r w:rsidR="001B0579">
        <w:rPr>
          <w:rFonts w:asciiTheme="minorHAnsi" w:hAnsiTheme="minorHAnsi" w:cstheme="minorHAnsi"/>
          <w:sz w:val="22"/>
          <w:szCs w:val="22"/>
        </w:rPr>
        <w:t xml:space="preserve">6 </w:t>
      </w:r>
      <w:r w:rsidRPr="00EE0D6E">
        <w:rPr>
          <w:rFonts w:asciiTheme="minorHAnsi" w:hAnsiTheme="minorHAnsi" w:cstheme="minorHAnsi"/>
          <w:sz w:val="22"/>
          <w:szCs w:val="22"/>
        </w:rPr>
        <w:t xml:space="preserve">independent </w:t>
      </w:r>
      <w:r w:rsidR="000F14B0" w:rsidRPr="00EE0D6E">
        <w:rPr>
          <w:rFonts w:asciiTheme="minorHAnsi" w:hAnsiTheme="minorHAnsi" w:cstheme="minorHAnsi"/>
          <w:sz w:val="22"/>
          <w:szCs w:val="22"/>
        </w:rPr>
        <w:t>series</w:t>
      </w:r>
      <w:r w:rsidR="00E7706B">
        <w:rPr>
          <w:rFonts w:asciiTheme="minorHAnsi" w:hAnsiTheme="minorHAnsi" w:cstheme="minorHAnsi"/>
          <w:sz w:val="22"/>
          <w:szCs w:val="22"/>
        </w:rPr>
        <w:t xml:space="preserve"> with animals representative of each group</w:t>
      </w:r>
      <w:r w:rsidR="001B0579">
        <w:rPr>
          <w:rFonts w:asciiTheme="minorHAnsi" w:hAnsiTheme="minorHAnsi" w:cstheme="minorHAnsi"/>
          <w:sz w:val="22"/>
          <w:szCs w:val="22"/>
        </w:rPr>
        <w:t xml:space="preserve"> (2 animals/group)</w:t>
      </w:r>
      <w:r w:rsidR="000F14B0" w:rsidRPr="00EE0D6E">
        <w:rPr>
          <w:rFonts w:asciiTheme="minorHAnsi" w:hAnsiTheme="minorHAnsi" w:cstheme="minorHAnsi"/>
          <w:sz w:val="22"/>
          <w:szCs w:val="22"/>
        </w:rPr>
        <w:t xml:space="preserve">. The variable number of animals per group is explained by the fact that during the course of the 10-day oral treatment, some animals lost their equipment for </w:t>
      </w:r>
      <w:r w:rsidR="000F14B0" w:rsidRPr="00EE0D6E">
        <w:rPr>
          <w:rFonts w:asciiTheme="minorHAnsi" w:hAnsiTheme="minorHAnsi" w:cstheme="minorHAnsi"/>
          <w:sz w:val="22"/>
          <w:szCs w:val="22"/>
          <w:lang w:val="en-GB"/>
        </w:rPr>
        <w:t>electromyography (EMG) recording.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F5C05B" w14:textId="298508AB" w:rsidR="00544C83" w:rsidRDefault="00544C83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E0D6E">
        <w:rPr>
          <w:rFonts w:asciiTheme="minorHAnsi" w:hAnsiTheme="minorHAnsi" w:cstheme="minorHAnsi"/>
          <w:b/>
          <w:sz w:val="22"/>
          <w:szCs w:val="22"/>
        </w:rPr>
        <w:t>Culture of bacterial strains</w:t>
      </w:r>
      <w:r w:rsidR="000F14B0" w:rsidRPr="00EE0D6E">
        <w:rPr>
          <w:rFonts w:asciiTheme="minorHAnsi" w:hAnsiTheme="minorHAnsi" w:cstheme="minorHAnsi"/>
          <w:b/>
          <w:sz w:val="22"/>
          <w:szCs w:val="22"/>
        </w:rPr>
        <w:t>:</w:t>
      </w:r>
      <w:r w:rsidR="000F14B0" w:rsidRPr="00EE0D6E">
        <w:rPr>
          <w:rFonts w:asciiTheme="minorHAnsi" w:hAnsiTheme="minorHAnsi" w:cstheme="minorHAnsi"/>
          <w:sz w:val="22"/>
          <w:szCs w:val="22"/>
        </w:rPr>
        <w:t xml:space="preserve"> </w:t>
      </w:r>
      <w:r w:rsidR="00EE0D6E">
        <w:rPr>
          <w:rFonts w:asciiTheme="minorHAnsi" w:hAnsiTheme="minorHAnsi" w:cstheme="minorHAnsi"/>
          <w:sz w:val="22"/>
          <w:szCs w:val="22"/>
          <w:lang w:val="en-GB"/>
        </w:rPr>
        <w:t>b</w:t>
      </w:r>
      <w:r w:rsidRPr="00EE0D6E">
        <w:rPr>
          <w:rFonts w:asciiTheme="minorHAnsi" w:hAnsiTheme="minorHAnsi" w:cstheme="minorHAnsi"/>
          <w:sz w:val="22"/>
          <w:szCs w:val="22"/>
          <w:lang w:val="en-GB"/>
        </w:rPr>
        <w:t xml:space="preserve">acterial cultures </w:t>
      </w:r>
      <w:r w:rsidR="00A06235" w:rsidRPr="00EE0D6E">
        <w:rPr>
          <w:rFonts w:asciiTheme="minorHAnsi" w:hAnsiTheme="minorHAnsi" w:cstheme="minorHAnsi"/>
          <w:sz w:val="22"/>
          <w:szCs w:val="22"/>
          <w:lang w:val="en-GB"/>
        </w:rPr>
        <w:t xml:space="preserve">in bioreactor </w:t>
      </w:r>
      <w:r w:rsidRPr="00EE0D6E">
        <w:rPr>
          <w:rFonts w:asciiTheme="minorHAnsi" w:hAnsiTheme="minorHAnsi" w:cstheme="minorHAnsi"/>
          <w:sz w:val="22"/>
          <w:szCs w:val="22"/>
          <w:lang w:val="en-GB"/>
        </w:rPr>
        <w:t xml:space="preserve">for each strain under study were performed in duplicate (i.e. </w:t>
      </w:r>
      <w:r w:rsidRPr="00EE0D6E">
        <w:rPr>
          <w:rFonts w:asciiTheme="minorHAnsi" w:hAnsiTheme="minorHAnsi" w:cstheme="minorHAnsi"/>
          <w:sz w:val="22"/>
          <w:szCs w:val="22"/>
        </w:rPr>
        <w:t>independent biological replicates)</w:t>
      </w:r>
      <w:r w:rsidR="00D64A6F">
        <w:rPr>
          <w:rFonts w:asciiTheme="minorHAnsi" w:hAnsiTheme="minorHAnsi" w:cstheme="minorHAnsi"/>
          <w:sz w:val="22"/>
          <w:szCs w:val="22"/>
        </w:rPr>
        <w:t>. S</w:t>
      </w:r>
      <w:r w:rsidR="00B42099" w:rsidRPr="00EE0D6E">
        <w:rPr>
          <w:rFonts w:asciiTheme="minorHAnsi" w:hAnsiTheme="minorHAnsi" w:cstheme="minorHAnsi"/>
          <w:sz w:val="22"/>
          <w:szCs w:val="22"/>
        </w:rPr>
        <w:t>ee section Materials and Methods Bacterial strains, medium and culture conditions</w:t>
      </w:r>
      <w:r w:rsidR="007C0A8C">
        <w:rPr>
          <w:rFonts w:asciiTheme="minorHAnsi" w:hAnsiTheme="minorHAnsi" w:cstheme="minorHAnsi"/>
          <w:sz w:val="22"/>
          <w:szCs w:val="22"/>
        </w:rPr>
        <w:t xml:space="preserve"> (4.1)</w:t>
      </w:r>
      <w:r w:rsidR="00A06235">
        <w:rPr>
          <w:rFonts w:asciiTheme="minorHAnsi" w:hAnsiTheme="minorHAnsi" w:cstheme="minorHAnsi"/>
          <w:sz w:val="22"/>
          <w:szCs w:val="22"/>
        </w:rPr>
        <w:t>.</w:t>
      </w:r>
    </w:p>
    <w:p w14:paraId="1B6350E2" w14:textId="762C6FA8" w:rsidR="00A06235" w:rsidRPr="00415436" w:rsidRDefault="00A06235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15436">
        <w:rPr>
          <w:rFonts w:asciiTheme="minorHAnsi" w:hAnsiTheme="minorHAnsi" w:cstheme="minorHAnsi"/>
          <w:b/>
          <w:sz w:val="22"/>
          <w:szCs w:val="22"/>
        </w:rPr>
        <w:t>Measurement of GABA concentration</w:t>
      </w:r>
      <w:r w:rsidR="00B032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F7" w:rsidRPr="00B032F7">
        <w:rPr>
          <w:rFonts w:asciiTheme="minorHAnsi" w:hAnsiTheme="minorHAnsi" w:cstheme="minorHAnsi"/>
          <w:b/>
          <w:sz w:val="22"/>
          <w:szCs w:val="22"/>
        </w:rPr>
        <w:t>all along the gastro-intestinal tract</w:t>
      </w:r>
      <w:r w:rsidRPr="00415436">
        <w:rPr>
          <w:rFonts w:asciiTheme="minorHAnsi" w:hAnsiTheme="minorHAnsi" w:cstheme="minorHAnsi"/>
          <w:b/>
          <w:sz w:val="22"/>
          <w:szCs w:val="22"/>
        </w:rPr>
        <w:t>:</w:t>
      </w:r>
      <w:r w:rsidRPr="00415436">
        <w:rPr>
          <w:rFonts w:asciiTheme="minorHAnsi" w:hAnsiTheme="minorHAnsi" w:cstheme="minorHAnsi"/>
          <w:sz w:val="22"/>
          <w:szCs w:val="22"/>
        </w:rPr>
        <w:t xml:space="preserve"> 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the number of animals considered for </w:t>
      </w:r>
      <w:r w:rsidR="00B032F7">
        <w:rPr>
          <w:rFonts w:asciiTheme="minorHAnsi" w:hAnsiTheme="minorHAnsi" w:cstheme="minorHAnsi"/>
          <w:sz w:val="22"/>
          <w:szCs w:val="22"/>
        </w:rPr>
        <w:t>this study is 5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 (</w:t>
      </w:r>
      <w:r w:rsidR="00B032F7">
        <w:rPr>
          <w:rFonts w:asciiTheme="minorHAnsi" w:hAnsiTheme="minorHAnsi" w:cstheme="minorHAnsi"/>
          <w:sz w:val="22"/>
          <w:szCs w:val="22"/>
        </w:rPr>
        <w:t>see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 section Materials and Methods </w:t>
      </w:r>
      <w:r w:rsidR="00B032F7" w:rsidRPr="00B032F7">
        <w:rPr>
          <w:rFonts w:asciiTheme="minorHAnsi" w:hAnsiTheme="minorHAnsi" w:cstheme="minorHAnsi"/>
          <w:sz w:val="22"/>
          <w:szCs w:val="22"/>
        </w:rPr>
        <w:t xml:space="preserve">Experimental protocol for </w:t>
      </w:r>
      <w:r w:rsidR="00B032F7" w:rsidRPr="008449A3">
        <w:rPr>
          <w:rFonts w:asciiTheme="minorHAnsi" w:hAnsiTheme="minorHAnsi" w:cstheme="minorHAnsi"/>
          <w:i/>
          <w:sz w:val="22"/>
          <w:szCs w:val="22"/>
        </w:rPr>
        <w:t>in vivo</w:t>
      </w:r>
      <w:r w:rsidR="00B032F7" w:rsidRPr="00B032F7">
        <w:rPr>
          <w:rFonts w:asciiTheme="minorHAnsi" w:hAnsiTheme="minorHAnsi" w:cstheme="minorHAnsi"/>
          <w:sz w:val="22"/>
          <w:szCs w:val="22"/>
        </w:rPr>
        <w:t xml:space="preserve"> assays </w:t>
      </w:r>
      <w:r w:rsidR="00B032F7">
        <w:rPr>
          <w:rFonts w:asciiTheme="minorHAnsi" w:hAnsiTheme="minorHAnsi" w:cstheme="minorHAnsi"/>
          <w:sz w:val="22"/>
          <w:szCs w:val="22"/>
        </w:rPr>
        <w:t>without PRS</w:t>
      </w:r>
      <w:r w:rsidR="00C4494B">
        <w:rPr>
          <w:rFonts w:asciiTheme="minorHAnsi" w:hAnsiTheme="minorHAnsi" w:cstheme="minorHAnsi"/>
          <w:sz w:val="22"/>
          <w:szCs w:val="22"/>
        </w:rPr>
        <w:t xml:space="preserve"> (</w:t>
      </w:r>
      <w:r w:rsidR="00C4494B" w:rsidRPr="00C4494B">
        <w:rPr>
          <w:rFonts w:asciiTheme="minorHAnsi" w:hAnsiTheme="minorHAnsi" w:cstheme="minorHAnsi"/>
          <w:sz w:val="22"/>
          <w:szCs w:val="22"/>
        </w:rPr>
        <w:t>4.5.2</w:t>
      </w:r>
      <w:r w:rsidR="00C4494B">
        <w:rPr>
          <w:rFonts w:asciiTheme="minorHAnsi" w:hAnsiTheme="minorHAnsi" w:cstheme="minorHAnsi"/>
          <w:sz w:val="22"/>
          <w:szCs w:val="22"/>
        </w:rPr>
        <w:t>)</w:t>
      </w:r>
      <w:r w:rsidR="00B032F7">
        <w:rPr>
          <w:rFonts w:asciiTheme="minorHAnsi" w:hAnsiTheme="minorHAnsi" w:cstheme="minorHAnsi"/>
          <w:sz w:val="22"/>
          <w:szCs w:val="22"/>
        </w:rPr>
        <w:t xml:space="preserve"> and </w:t>
      </w:r>
      <w:r w:rsidR="00415436" w:rsidRPr="00415436">
        <w:rPr>
          <w:rFonts w:asciiTheme="minorHAnsi" w:hAnsiTheme="minorHAnsi" w:cstheme="minorHAnsi"/>
          <w:sz w:val="22"/>
          <w:szCs w:val="22"/>
        </w:rPr>
        <w:t>GABA extraction and quantification</w:t>
      </w:r>
      <w:r w:rsidR="00C4494B">
        <w:rPr>
          <w:rFonts w:asciiTheme="minorHAnsi" w:hAnsiTheme="minorHAnsi" w:cstheme="minorHAnsi"/>
          <w:sz w:val="22"/>
          <w:szCs w:val="22"/>
        </w:rPr>
        <w:t xml:space="preserve"> </w:t>
      </w:r>
      <w:r w:rsidR="00C4494B" w:rsidRPr="00C4494B">
        <w:rPr>
          <w:rFonts w:asciiTheme="minorHAnsi" w:hAnsiTheme="minorHAnsi" w:cstheme="minorHAnsi"/>
          <w:sz w:val="22"/>
          <w:szCs w:val="22"/>
        </w:rPr>
        <w:t xml:space="preserve">from 200 mg of contents </w:t>
      </w:r>
      <w:r w:rsidR="00C4494B">
        <w:rPr>
          <w:rFonts w:asciiTheme="minorHAnsi" w:hAnsiTheme="minorHAnsi" w:cstheme="minorHAnsi"/>
          <w:sz w:val="22"/>
          <w:szCs w:val="22"/>
        </w:rPr>
        <w:t>(</w:t>
      </w:r>
      <w:r w:rsidR="00C4494B" w:rsidRPr="00C4494B">
        <w:rPr>
          <w:rFonts w:asciiTheme="minorHAnsi" w:hAnsiTheme="minorHAnsi" w:cstheme="minorHAnsi"/>
          <w:sz w:val="22"/>
          <w:szCs w:val="22"/>
        </w:rPr>
        <w:t>4.7</w:t>
      </w:r>
      <w:r w:rsidR="00B032F7">
        <w:rPr>
          <w:rFonts w:asciiTheme="minorHAnsi" w:hAnsiTheme="minorHAnsi" w:cstheme="minorHAnsi"/>
          <w:sz w:val="22"/>
          <w:szCs w:val="22"/>
        </w:rPr>
        <w:t>)</w:t>
      </w:r>
      <w:r w:rsidR="00415436" w:rsidRPr="00415436">
        <w:rPr>
          <w:rFonts w:asciiTheme="minorHAnsi" w:hAnsiTheme="minorHAnsi" w:cstheme="minorHAnsi"/>
          <w:sz w:val="22"/>
          <w:szCs w:val="22"/>
        </w:rPr>
        <w:t>.</w:t>
      </w:r>
    </w:p>
    <w:p w14:paraId="2EDB5310" w14:textId="0A784F8C" w:rsidR="00B42099" w:rsidRPr="00EE0D6E" w:rsidRDefault="000F14B0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06235">
        <w:rPr>
          <w:rFonts w:asciiTheme="minorHAnsi" w:hAnsiTheme="minorHAnsi" w:cstheme="minorHAnsi"/>
          <w:b/>
          <w:sz w:val="22"/>
          <w:szCs w:val="22"/>
        </w:rPr>
        <w:t>Measurement of specific GAD activity:</w:t>
      </w:r>
      <w:r w:rsidRPr="00EE0D6E">
        <w:rPr>
          <w:rFonts w:asciiTheme="minorHAnsi" w:hAnsiTheme="minorHAnsi" w:cstheme="minorHAnsi"/>
          <w:sz w:val="22"/>
          <w:szCs w:val="22"/>
        </w:rPr>
        <w:t xml:space="preserve"> for each of the two cultures </w:t>
      </w:r>
      <w:r w:rsidR="00EE0D6E" w:rsidRPr="00EE0D6E">
        <w:rPr>
          <w:rFonts w:asciiTheme="minorHAnsi" w:hAnsiTheme="minorHAnsi" w:cstheme="minorHAnsi"/>
          <w:sz w:val="22"/>
          <w:szCs w:val="22"/>
        </w:rPr>
        <w:t xml:space="preserve">independent biological </w:t>
      </w:r>
      <w:r w:rsidRPr="00EE0D6E">
        <w:rPr>
          <w:rFonts w:asciiTheme="minorHAnsi" w:hAnsiTheme="minorHAnsi" w:cstheme="minorHAnsi"/>
          <w:sz w:val="22"/>
          <w:szCs w:val="22"/>
        </w:rPr>
        <w:t xml:space="preserve">replicates in </w:t>
      </w:r>
      <w:r w:rsidR="00EE0D6E" w:rsidRPr="00EE0D6E">
        <w:rPr>
          <w:rFonts w:asciiTheme="minorHAnsi" w:hAnsiTheme="minorHAnsi" w:cstheme="minorHAnsi"/>
          <w:sz w:val="22"/>
          <w:szCs w:val="22"/>
        </w:rPr>
        <w:t>bioreactor, three technical replicates (n=3) were considered. See legend of Table S</w:t>
      </w:r>
      <w:r w:rsidR="007C0A8C">
        <w:rPr>
          <w:rFonts w:asciiTheme="minorHAnsi" w:hAnsiTheme="minorHAnsi" w:cstheme="minorHAnsi"/>
          <w:sz w:val="22"/>
          <w:szCs w:val="22"/>
        </w:rPr>
        <w:t>1</w:t>
      </w:r>
      <w:r w:rsidR="00EE0D6E" w:rsidRPr="00EE0D6E">
        <w:rPr>
          <w:rFonts w:asciiTheme="minorHAnsi" w:hAnsiTheme="minorHAnsi" w:cstheme="minorHAnsi"/>
          <w:sz w:val="22"/>
          <w:szCs w:val="22"/>
        </w:rPr>
        <w:t>.</w:t>
      </w:r>
    </w:p>
    <w:p w14:paraId="186047C2" w14:textId="495550B1" w:rsidR="00EE0D6E" w:rsidRPr="00EE0D6E" w:rsidRDefault="00EE0D6E" w:rsidP="00EE0D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A06235">
        <w:rPr>
          <w:rFonts w:asciiTheme="minorHAnsi" w:hAnsiTheme="minorHAnsi" w:cstheme="minorHAnsi"/>
          <w:b/>
          <w:i/>
          <w:iCs/>
          <w:sz w:val="22"/>
          <w:szCs w:val="22"/>
        </w:rPr>
        <w:t>In vitro</w:t>
      </w:r>
      <w:r w:rsidRPr="00A06235">
        <w:rPr>
          <w:rFonts w:asciiTheme="minorHAnsi" w:hAnsiTheme="minorHAnsi" w:cstheme="minorHAnsi"/>
          <w:b/>
          <w:sz w:val="22"/>
          <w:szCs w:val="22"/>
        </w:rPr>
        <w:t xml:space="preserve"> kinetics of</w:t>
      </w:r>
      <w:r w:rsidRPr="00A0623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06235">
        <w:rPr>
          <w:rFonts w:asciiTheme="minorHAnsi" w:hAnsiTheme="minorHAnsi" w:cstheme="minorHAnsi"/>
          <w:b/>
          <w:sz w:val="22"/>
          <w:szCs w:val="22"/>
        </w:rPr>
        <w:t>GABA production:</w:t>
      </w:r>
      <w:r w:rsidRPr="00EE0D6E">
        <w:rPr>
          <w:rFonts w:asciiTheme="minorHAnsi" w:hAnsiTheme="minorHAnsi" w:cstheme="minorHAnsi"/>
          <w:sz w:val="22"/>
          <w:szCs w:val="22"/>
        </w:rPr>
        <w:t xml:space="preserve"> Two independent biological replicates were performed. See legend of </w:t>
      </w:r>
      <w:r w:rsidR="008449A3" w:rsidRPr="008449A3">
        <w:rPr>
          <w:rFonts w:asciiTheme="minorHAnsi" w:hAnsiTheme="minorHAnsi" w:cstheme="minorHAnsi"/>
          <w:sz w:val="22"/>
          <w:szCs w:val="22"/>
        </w:rPr>
        <w:t>Supplementary File 2</w:t>
      </w:r>
      <w:r w:rsidR="008449A3">
        <w:rPr>
          <w:rFonts w:asciiTheme="minorHAnsi" w:hAnsiTheme="minorHAnsi" w:cstheme="minorHAnsi"/>
          <w:sz w:val="22"/>
          <w:szCs w:val="22"/>
        </w:rPr>
        <w:t xml:space="preserve"> (Table)</w:t>
      </w:r>
      <w:bookmarkStart w:id="0" w:name="_GoBack"/>
      <w:bookmarkEnd w:id="0"/>
      <w:r w:rsidRPr="00EE0D6E">
        <w:rPr>
          <w:rFonts w:asciiTheme="minorHAnsi" w:hAnsiTheme="minorHAnsi" w:cs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B078C0" w14:textId="1E2155A4" w:rsidR="00415436" w:rsidRDefault="00A06235" w:rsidP="004154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15436">
        <w:rPr>
          <w:rFonts w:asciiTheme="minorHAnsi" w:hAnsiTheme="minorHAnsi" w:cstheme="minorHAnsi"/>
          <w:sz w:val="22"/>
          <w:szCs w:val="22"/>
        </w:rPr>
        <w:t>A specific section “Statistical methods” is included at the end of the Materials and Methods part</w:t>
      </w:r>
      <w:r w:rsidR="007C0A8C">
        <w:rPr>
          <w:rFonts w:asciiTheme="minorHAnsi" w:hAnsiTheme="minorHAnsi" w:cstheme="minorHAnsi"/>
          <w:sz w:val="22"/>
          <w:szCs w:val="22"/>
        </w:rPr>
        <w:t xml:space="preserve"> (4.9)</w:t>
      </w:r>
      <w:r w:rsidR="00415436">
        <w:rPr>
          <w:rFonts w:asciiTheme="minorHAnsi" w:hAnsiTheme="minorHAnsi" w:cstheme="minorHAnsi"/>
          <w:sz w:val="22"/>
          <w:szCs w:val="22"/>
        </w:rPr>
        <w:t>,</w:t>
      </w:r>
      <w:r w:rsidRPr="00415436">
        <w:rPr>
          <w:rFonts w:asciiTheme="minorHAnsi" w:hAnsiTheme="minorHAnsi" w:cstheme="minorHAnsi"/>
          <w:sz w:val="22"/>
          <w:szCs w:val="22"/>
        </w:rPr>
        <w:t xml:space="preserve"> with a particular focus on animal experiments. Data are reported as the means ± standard errors of the means (SEM). The software GraphPad Prism </w:t>
      </w:r>
      <w:r w:rsidR="007C0A8C">
        <w:rPr>
          <w:rFonts w:asciiTheme="minorHAnsi" w:hAnsiTheme="minorHAnsi" w:cstheme="minorHAnsi"/>
          <w:sz w:val="22"/>
          <w:szCs w:val="22"/>
        </w:rPr>
        <w:t>8</w:t>
      </w:r>
      <w:r w:rsidRPr="00415436">
        <w:rPr>
          <w:rFonts w:asciiTheme="minorHAnsi" w:hAnsiTheme="minorHAnsi" w:cstheme="minorHAnsi"/>
          <w:sz w:val="22"/>
          <w:szCs w:val="22"/>
        </w:rPr>
        <w:t>.</w:t>
      </w:r>
      <w:r w:rsidR="007C0A8C">
        <w:rPr>
          <w:rFonts w:asciiTheme="minorHAnsi" w:hAnsiTheme="minorHAnsi" w:cstheme="minorHAnsi"/>
          <w:sz w:val="22"/>
          <w:szCs w:val="22"/>
        </w:rPr>
        <w:t>3</w:t>
      </w:r>
      <w:r w:rsidRPr="00415436">
        <w:rPr>
          <w:rFonts w:asciiTheme="minorHAnsi" w:hAnsiTheme="minorHAnsi" w:cstheme="minorHAnsi"/>
          <w:sz w:val="22"/>
          <w:szCs w:val="22"/>
        </w:rPr>
        <w:t xml:space="preserve"> (GraphPad, San Diego, CA) was used for statistical analysis. </w:t>
      </w:r>
      <w:r w:rsidR="008078F8">
        <w:rPr>
          <w:rFonts w:asciiTheme="minorHAnsi" w:hAnsiTheme="minorHAnsi" w:cstheme="minorHAnsi"/>
          <w:sz w:val="22"/>
          <w:szCs w:val="22"/>
        </w:rPr>
        <w:t>For visceral sensitivity evaluation, o</w:t>
      </w:r>
      <w:r w:rsidRPr="00415436">
        <w:rPr>
          <w:rFonts w:asciiTheme="minorHAnsi" w:hAnsiTheme="minorHAnsi" w:cstheme="minorHAnsi"/>
          <w:sz w:val="22"/>
          <w:szCs w:val="22"/>
        </w:rPr>
        <w:t xml:space="preserve">ne-way ANOVA, followed by Tukey’s Multiple Comparison test, was performed to compare data between the different groups of animals. Statistical significance was accepted at </w:t>
      </w:r>
      <w:r w:rsidRPr="00415436">
        <w:rPr>
          <w:rStyle w:val="Accentuation"/>
          <w:rFonts w:asciiTheme="minorHAnsi" w:hAnsiTheme="minorHAnsi" w:cstheme="minorHAnsi"/>
          <w:sz w:val="22"/>
          <w:szCs w:val="22"/>
        </w:rPr>
        <w:t>P</w:t>
      </w:r>
      <w:r w:rsidRPr="00415436">
        <w:rPr>
          <w:rFonts w:asciiTheme="minorHAnsi" w:hAnsiTheme="minorHAnsi" w:cstheme="minorHAnsi"/>
          <w:sz w:val="22"/>
          <w:szCs w:val="22"/>
        </w:rPr>
        <w:t xml:space="preserve"> &lt; 0.05. P-values vs. reference groups </w:t>
      </w:r>
      <w:r w:rsidR="00415436" w:rsidRPr="00415436">
        <w:rPr>
          <w:rFonts w:asciiTheme="minorHAnsi" w:hAnsiTheme="minorHAnsi" w:cstheme="minorHAnsi"/>
          <w:sz w:val="22"/>
          <w:szCs w:val="22"/>
        </w:rPr>
        <w:t>(</w:t>
      </w:r>
      <w:r w:rsidR="00415436" w:rsidRPr="00415436">
        <w:rPr>
          <w:rFonts w:asciiTheme="minorHAnsi" w:hAnsiTheme="minorHAnsi" w:cstheme="minorHAnsi"/>
          <w:i/>
          <w:iCs/>
          <w:sz w:val="22"/>
          <w:szCs w:val="22"/>
        </w:rPr>
        <w:t>P&lt;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0.05; </w:t>
      </w:r>
      <w:r w:rsidR="00415436" w:rsidRPr="00415436">
        <w:rPr>
          <w:rFonts w:asciiTheme="minorHAnsi" w:hAnsiTheme="minorHAnsi" w:cstheme="minorHAnsi"/>
          <w:i/>
          <w:iCs/>
          <w:sz w:val="22"/>
          <w:szCs w:val="22"/>
        </w:rPr>
        <w:t>P&lt;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0.01; </w:t>
      </w:r>
      <w:r w:rsidR="00415436" w:rsidRPr="00415436">
        <w:rPr>
          <w:rFonts w:asciiTheme="minorHAnsi" w:hAnsiTheme="minorHAnsi" w:cstheme="minorHAnsi"/>
          <w:i/>
          <w:iCs/>
          <w:sz w:val="22"/>
          <w:szCs w:val="22"/>
        </w:rPr>
        <w:t>P&lt;</w:t>
      </w:r>
      <w:r w:rsidR="00415436" w:rsidRPr="00415436">
        <w:rPr>
          <w:rFonts w:asciiTheme="minorHAnsi" w:hAnsiTheme="minorHAnsi" w:cstheme="minorHAnsi"/>
          <w:sz w:val="22"/>
          <w:szCs w:val="22"/>
        </w:rPr>
        <w:t>0.001</w:t>
      </w:r>
      <w:r w:rsidR="007C0A8C">
        <w:rPr>
          <w:rFonts w:asciiTheme="minorHAnsi" w:hAnsiTheme="minorHAnsi" w:cstheme="minorHAnsi"/>
          <w:sz w:val="22"/>
          <w:szCs w:val="22"/>
        </w:rPr>
        <w:t>; P&lt;0.0001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) </w:t>
      </w:r>
      <w:r w:rsidRPr="00415436">
        <w:rPr>
          <w:rFonts w:asciiTheme="minorHAnsi" w:hAnsiTheme="minorHAnsi" w:cstheme="minorHAnsi"/>
          <w:sz w:val="22"/>
          <w:szCs w:val="22"/>
        </w:rPr>
        <w:t xml:space="preserve">are indicated in </w:t>
      </w:r>
      <w:r w:rsidR="00415436" w:rsidRPr="00415436">
        <w:rPr>
          <w:rFonts w:asciiTheme="minorHAnsi" w:hAnsiTheme="minorHAnsi" w:cstheme="minorHAnsi"/>
          <w:sz w:val="22"/>
          <w:szCs w:val="22"/>
        </w:rPr>
        <w:t>the</w:t>
      </w:r>
      <w:r w:rsidRPr="00415436">
        <w:rPr>
          <w:rFonts w:asciiTheme="minorHAnsi" w:hAnsiTheme="minorHAnsi" w:cstheme="minorHAnsi"/>
          <w:sz w:val="22"/>
          <w:szCs w:val="22"/>
        </w:rPr>
        <w:t xml:space="preserve"> legend</w:t>
      </w:r>
      <w:r w:rsidR="00415436" w:rsidRPr="00415436">
        <w:rPr>
          <w:rFonts w:asciiTheme="minorHAnsi" w:hAnsiTheme="minorHAnsi" w:cstheme="minorHAnsi"/>
          <w:sz w:val="22"/>
          <w:szCs w:val="22"/>
        </w:rPr>
        <w:t xml:space="preserve"> of Figures 2 and 3. </w:t>
      </w:r>
    </w:p>
    <w:p w14:paraId="0B735948" w14:textId="7EB28441" w:rsidR="008078F8" w:rsidRDefault="008078F8" w:rsidP="004154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078F8">
        <w:rPr>
          <w:rFonts w:asciiTheme="minorHAnsi" w:hAnsiTheme="minorHAnsi" w:cstheme="minorHAnsi"/>
          <w:sz w:val="22"/>
          <w:szCs w:val="22"/>
        </w:rPr>
        <w:t>For GABA measurements</w:t>
      </w:r>
      <w:r>
        <w:rPr>
          <w:rFonts w:asciiTheme="minorHAnsi" w:hAnsiTheme="minorHAnsi" w:cstheme="minorHAnsi"/>
          <w:sz w:val="22"/>
          <w:szCs w:val="22"/>
        </w:rPr>
        <w:t xml:space="preserve"> in the gastro-intestinal tract</w:t>
      </w:r>
      <w:r w:rsidRPr="008078F8">
        <w:rPr>
          <w:rFonts w:asciiTheme="minorHAnsi" w:hAnsiTheme="minorHAnsi" w:cstheme="minorHAnsi"/>
          <w:sz w:val="22"/>
          <w:szCs w:val="22"/>
        </w:rPr>
        <w:t>, data are reported as the means ± SEM and the non-parametric Kruskal-Wallis test, supplemented by Dunn's multiple comparison test, was used. Statistical significance was accepted at P &lt; 0.05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522E18" w14:textId="343BAD1C" w:rsidR="007C0A8C" w:rsidRPr="005E702A" w:rsidRDefault="008078F8" w:rsidP="004154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analysis for f</w:t>
      </w:r>
      <w:r w:rsidRPr="008078F8">
        <w:rPr>
          <w:rFonts w:asciiTheme="minorHAnsi" w:hAnsiTheme="minorHAnsi" w:cstheme="minorHAnsi"/>
          <w:sz w:val="22"/>
          <w:szCs w:val="22"/>
        </w:rPr>
        <w:t>aecal microbiota composition using 16S rRNA gene sequencing</w:t>
      </w:r>
      <w:r>
        <w:rPr>
          <w:rFonts w:asciiTheme="minorHAnsi" w:hAnsiTheme="minorHAnsi" w:cstheme="minorHAnsi"/>
          <w:sz w:val="22"/>
          <w:szCs w:val="22"/>
        </w:rPr>
        <w:t xml:space="preserve"> is provided separately (4.8) including bio-informatic and statistical treatments.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F8F942" w:rsidR="00BC3CCE" w:rsidRPr="00505C51" w:rsidRDefault="00415436" w:rsidP="00C8015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505C51">
        <w:rPr>
          <w:rFonts w:asciiTheme="minorHAnsi" w:hAnsiTheme="minorHAnsi"/>
          <w:sz w:val="22"/>
          <w:szCs w:val="22"/>
        </w:rPr>
        <w:t xml:space="preserve">andomization </w:t>
      </w:r>
      <w:r>
        <w:rPr>
          <w:rFonts w:asciiTheme="minorHAnsi" w:hAnsiTheme="minorHAnsi"/>
          <w:sz w:val="22"/>
          <w:szCs w:val="22"/>
        </w:rPr>
        <w:t>was used for allocating animals</w:t>
      </w:r>
      <w:r w:rsidRPr="00505C51">
        <w:rPr>
          <w:rFonts w:asciiTheme="minorHAnsi" w:hAnsiTheme="minorHAnsi"/>
          <w:sz w:val="22"/>
          <w:szCs w:val="22"/>
        </w:rPr>
        <w:t xml:space="preserve"> into </w:t>
      </w:r>
      <w:r>
        <w:rPr>
          <w:rFonts w:asciiTheme="minorHAnsi" w:hAnsiTheme="minorHAnsi"/>
          <w:sz w:val="22"/>
          <w:szCs w:val="22"/>
        </w:rPr>
        <w:t xml:space="preserve">the different </w:t>
      </w:r>
      <w:r w:rsidR="00E7706B">
        <w:rPr>
          <w:rFonts w:asciiTheme="minorHAnsi" w:hAnsiTheme="minorHAnsi"/>
          <w:sz w:val="22"/>
          <w:szCs w:val="22"/>
        </w:rPr>
        <w:t xml:space="preserve">experimental groups. </w:t>
      </w:r>
      <w:r w:rsidR="001B0579">
        <w:rPr>
          <w:rFonts w:asciiTheme="minorHAnsi" w:hAnsiTheme="minorHAnsi"/>
          <w:sz w:val="22"/>
          <w:szCs w:val="22"/>
        </w:rPr>
        <w:t xml:space="preserve">Randomization was also used for visceral sensitivity measurements between animals from each group. No masking was </w:t>
      </w:r>
      <w:r w:rsidR="00C8015E">
        <w:rPr>
          <w:rFonts w:asciiTheme="minorHAnsi" w:hAnsiTheme="minorHAnsi"/>
          <w:sz w:val="22"/>
          <w:szCs w:val="22"/>
        </w:rPr>
        <w:t>used for data collection and analysis. This information is not given in the current version of the manuscript but could be added if necessary.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39A5AD" w14:textId="77777777" w:rsidR="00FA11E7" w:rsidRPr="00B035D1" w:rsidRDefault="00FA11E7" w:rsidP="00C8015E">
      <w:pPr>
        <w:framePr w:w="7817" w:h="7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035D1">
        <w:rPr>
          <w:rFonts w:asciiTheme="minorHAnsi" w:hAnsiTheme="minorHAnsi"/>
          <w:sz w:val="22"/>
          <w:szCs w:val="22"/>
        </w:rPr>
        <w:t>Relevant additional data files are provided as source data files.</w:t>
      </w:r>
    </w:p>
    <w:p w14:paraId="440615FA" w14:textId="55FB6596" w:rsidR="00FA11E7" w:rsidRPr="00B035D1" w:rsidRDefault="00FA11E7" w:rsidP="00C8015E">
      <w:pPr>
        <w:framePr w:w="7817" w:h="7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B035D1">
        <w:rPr>
          <w:rFonts w:asciiTheme="minorHAnsi" w:hAnsiTheme="minorHAnsi"/>
          <w:sz w:val="22"/>
          <w:szCs w:val="22"/>
        </w:rPr>
        <w:t>For figure</w:t>
      </w:r>
      <w:r w:rsidR="00BB757B" w:rsidRPr="00B035D1">
        <w:rPr>
          <w:rFonts w:asciiTheme="minorHAnsi" w:hAnsiTheme="minorHAnsi"/>
          <w:sz w:val="22"/>
          <w:szCs w:val="22"/>
        </w:rPr>
        <w:t>s</w:t>
      </w:r>
      <w:r w:rsidRPr="00B035D1">
        <w:rPr>
          <w:rFonts w:asciiTheme="minorHAnsi" w:hAnsiTheme="minorHAnsi"/>
          <w:sz w:val="22"/>
          <w:szCs w:val="22"/>
        </w:rPr>
        <w:t xml:space="preserve"> 1A 1B and S</w:t>
      </w:r>
      <w:r w:rsidR="00DA6F7F">
        <w:rPr>
          <w:rFonts w:asciiTheme="minorHAnsi" w:hAnsiTheme="minorHAnsi"/>
          <w:sz w:val="22"/>
          <w:szCs w:val="22"/>
        </w:rPr>
        <w:t>3</w:t>
      </w:r>
      <w:r w:rsidR="000150F2" w:rsidRPr="00B035D1">
        <w:rPr>
          <w:rFonts w:asciiTheme="minorHAnsi" w:hAnsiTheme="minorHAnsi"/>
          <w:sz w:val="22"/>
          <w:szCs w:val="22"/>
        </w:rPr>
        <w:t>:</w:t>
      </w:r>
      <w:r w:rsidR="00426763">
        <w:rPr>
          <w:rFonts w:asciiTheme="minorHAnsi" w:hAnsiTheme="minorHAnsi"/>
          <w:sz w:val="22"/>
          <w:szCs w:val="22"/>
        </w:rPr>
        <w:t xml:space="preserve"> Excel file</w:t>
      </w:r>
      <w:r w:rsidRPr="00B035D1">
        <w:rPr>
          <w:rFonts w:asciiTheme="minorHAnsi" w:hAnsiTheme="minorHAnsi"/>
          <w:sz w:val="22"/>
          <w:szCs w:val="22"/>
        </w:rPr>
        <w:t>.</w:t>
      </w:r>
    </w:p>
    <w:p w14:paraId="3BED430D" w14:textId="71AA408F" w:rsidR="00FA11E7" w:rsidRPr="000D79F2" w:rsidRDefault="00FA11E7" w:rsidP="00C8015E">
      <w:pPr>
        <w:framePr w:w="7817" w:h="7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0D79F2">
        <w:rPr>
          <w:rFonts w:asciiTheme="minorHAnsi" w:hAnsiTheme="minorHAnsi"/>
          <w:sz w:val="22"/>
          <w:szCs w:val="22"/>
        </w:rPr>
        <w:t>For figure</w:t>
      </w:r>
      <w:r w:rsidR="00BB757B" w:rsidRPr="000D79F2">
        <w:rPr>
          <w:rFonts w:asciiTheme="minorHAnsi" w:hAnsiTheme="minorHAnsi"/>
          <w:sz w:val="22"/>
          <w:szCs w:val="22"/>
        </w:rPr>
        <w:t>s</w:t>
      </w:r>
      <w:r w:rsidRPr="000D79F2">
        <w:rPr>
          <w:rFonts w:asciiTheme="minorHAnsi" w:hAnsiTheme="minorHAnsi"/>
          <w:sz w:val="22"/>
          <w:szCs w:val="22"/>
        </w:rPr>
        <w:t xml:space="preserve"> 2</w:t>
      </w:r>
      <w:r w:rsidR="00BB757B" w:rsidRPr="000D79F2">
        <w:rPr>
          <w:rFonts w:asciiTheme="minorHAnsi" w:hAnsiTheme="minorHAnsi"/>
          <w:sz w:val="22"/>
          <w:szCs w:val="22"/>
        </w:rPr>
        <w:t xml:space="preserve">A 2B, </w:t>
      </w:r>
      <w:r w:rsidRPr="000D79F2">
        <w:rPr>
          <w:rFonts w:asciiTheme="minorHAnsi" w:hAnsiTheme="minorHAnsi"/>
          <w:sz w:val="22"/>
          <w:szCs w:val="22"/>
        </w:rPr>
        <w:t>3</w:t>
      </w:r>
      <w:r w:rsidR="00BB757B" w:rsidRPr="000D79F2">
        <w:rPr>
          <w:rFonts w:asciiTheme="minorHAnsi" w:hAnsiTheme="minorHAnsi"/>
          <w:sz w:val="22"/>
          <w:szCs w:val="22"/>
        </w:rPr>
        <w:t xml:space="preserve">A 3B, </w:t>
      </w:r>
      <w:r w:rsidR="003E2FFD" w:rsidRPr="000D79F2">
        <w:rPr>
          <w:rFonts w:asciiTheme="minorHAnsi" w:hAnsiTheme="minorHAnsi"/>
          <w:sz w:val="22"/>
          <w:szCs w:val="22"/>
        </w:rPr>
        <w:t>4</w:t>
      </w:r>
      <w:r w:rsidR="00DA6F7F">
        <w:rPr>
          <w:rFonts w:asciiTheme="minorHAnsi" w:hAnsiTheme="minorHAnsi"/>
          <w:sz w:val="22"/>
          <w:szCs w:val="22"/>
        </w:rPr>
        <w:t xml:space="preserve">, </w:t>
      </w:r>
      <w:r w:rsidR="00BB757B" w:rsidRPr="000D79F2">
        <w:rPr>
          <w:rFonts w:asciiTheme="minorHAnsi" w:hAnsiTheme="minorHAnsi"/>
          <w:sz w:val="22"/>
          <w:szCs w:val="22"/>
        </w:rPr>
        <w:t>S1</w:t>
      </w:r>
      <w:r w:rsidR="00DA6F7F">
        <w:rPr>
          <w:rFonts w:asciiTheme="minorHAnsi" w:hAnsiTheme="minorHAnsi"/>
          <w:sz w:val="22"/>
          <w:szCs w:val="22"/>
        </w:rPr>
        <w:t xml:space="preserve"> and S2</w:t>
      </w:r>
      <w:r w:rsidR="003E2FFD" w:rsidRPr="000D79F2">
        <w:rPr>
          <w:rFonts w:asciiTheme="minorHAnsi" w:hAnsiTheme="minorHAnsi"/>
          <w:sz w:val="22"/>
          <w:szCs w:val="22"/>
        </w:rPr>
        <w:t xml:space="preserve">: </w:t>
      </w:r>
      <w:r w:rsidR="00302F85">
        <w:rPr>
          <w:rFonts w:asciiTheme="minorHAnsi" w:hAnsiTheme="minorHAnsi"/>
          <w:sz w:val="22"/>
          <w:szCs w:val="22"/>
        </w:rPr>
        <w:t>txt</w:t>
      </w:r>
      <w:r w:rsidR="003E2FFD" w:rsidRPr="000D79F2">
        <w:rPr>
          <w:rFonts w:asciiTheme="minorHAnsi" w:hAnsiTheme="minorHAnsi"/>
          <w:sz w:val="22"/>
          <w:szCs w:val="22"/>
        </w:rPr>
        <w:t xml:space="preserve"> format</w:t>
      </w:r>
      <w:r w:rsidR="00426763">
        <w:rPr>
          <w:rFonts w:asciiTheme="minorHAnsi" w:hAnsiTheme="minorHAnsi"/>
          <w:sz w:val="22"/>
          <w:szCs w:val="22"/>
        </w:rPr>
        <w:t>.</w:t>
      </w:r>
    </w:p>
    <w:p w14:paraId="7BB96250" w14:textId="77777777" w:rsidR="00E91D50" w:rsidRPr="00E91D50" w:rsidRDefault="00FA11E7" w:rsidP="00E91D50">
      <w:pPr>
        <w:framePr w:w="7817" w:h="7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C00000"/>
          <w:sz w:val="22"/>
          <w:szCs w:val="22"/>
          <w:lang w:val="en-GB"/>
        </w:rPr>
      </w:pPr>
      <w:r w:rsidRPr="00E91D50">
        <w:rPr>
          <w:rFonts w:asciiTheme="minorHAnsi" w:hAnsiTheme="minorHAnsi"/>
          <w:sz w:val="22"/>
          <w:szCs w:val="22"/>
        </w:rPr>
        <w:t>For fi</w:t>
      </w:r>
      <w:r w:rsidR="003E2FFD" w:rsidRPr="00E91D50">
        <w:rPr>
          <w:rFonts w:asciiTheme="minorHAnsi" w:hAnsiTheme="minorHAnsi"/>
          <w:sz w:val="22"/>
          <w:szCs w:val="22"/>
        </w:rPr>
        <w:t>gure 5</w:t>
      </w:r>
      <w:r w:rsidR="005E702A" w:rsidRPr="00E91D50">
        <w:rPr>
          <w:rFonts w:asciiTheme="minorHAnsi" w:hAnsiTheme="minorHAnsi"/>
          <w:sz w:val="22"/>
          <w:szCs w:val="22"/>
        </w:rPr>
        <w:t>:</w:t>
      </w:r>
      <w:r w:rsidR="00454A59" w:rsidRPr="00E91D50">
        <w:rPr>
          <w:rFonts w:asciiTheme="minorHAnsi" w:hAnsiTheme="minorHAnsi"/>
          <w:sz w:val="22"/>
          <w:szCs w:val="22"/>
        </w:rPr>
        <w:t xml:space="preserve"> </w:t>
      </w:r>
      <w:r w:rsidR="00D24793" w:rsidRPr="00E91D50">
        <w:rPr>
          <w:rFonts w:asciiTheme="minorHAnsi" w:hAnsiTheme="minorHAnsi"/>
          <w:sz w:val="22"/>
          <w:szCs w:val="22"/>
        </w:rPr>
        <w:t xml:space="preserve"> </w:t>
      </w:r>
      <w:r w:rsidR="00E91D50" w:rsidRPr="00E91D50">
        <w:rPr>
          <w:rFonts w:asciiTheme="minorHAnsi" w:hAnsiTheme="minorHAnsi"/>
          <w:sz w:val="22"/>
          <w:szCs w:val="22"/>
        </w:rPr>
        <w:t>All data (raw and treated) can be found in this link:</w:t>
      </w:r>
      <w:r w:rsidR="00E91D50">
        <w:rPr>
          <w:rFonts w:asciiTheme="minorHAnsi" w:hAnsiTheme="minorHAnsi"/>
          <w:color w:val="C00000"/>
          <w:sz w:val="22"/>
          <w:szCs w:val="22"/>
        </w:rPr>
        <w:t xml:space="preserve"> </w:t>
      </w:r>
      <w:hyperlink r:id="rId12" w:history="1">
        <w:r w:rsidR="00E91D50" w:rsidRPr="00E91D50">
          <w:rPr>
            <w:rStyle w:val="Lienhypertexte"/>
            <w:rFonts w:asciiTheme="minorHAnsi" w:hAnsiTheme="minorHAnsi"/>
            <w:sz w:val="22"/>
            <w:szCs w:val="22"/>
            <w:lang w:val="en-GB"/>
          </w:rPr>
          <w:t>https://forgemia.inra.fr/umrf/exploremetabar</w:t>
        </w:r>
      </w:hyperlink>
    </w:p>
    <w:p w14:paraId="17228940" w14:textId="11FDA0A2" w:rsidR="00FA11E7" w:rsidRPr="00E91D50" w:rsidRDefault="00FA11E7" w:rsidP="00C8015E">
      <w:pPr>
        <w:framePr w:w="7817" w:h="7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color w:val="C00000"/>
          <w:sz w:val="22"/>
          <w:szCs w:val="22"/>
          <w:lang w:val="en-GB"/>
        </w:rPr>
      </w:pPr>
    </w:p>
    <w:p w14:paraId="08C9EF2F" w14:textId="6BDFA4E9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324E" w14:textId="77777777" w:rsidR="003C00C2" w:rsidRDefault="003C00C2" w:rsidP="004215FE">
      <w:r>
        <w:separator/>
      </w:r>
    </w:p>
  </w:endnote>
  <w:endnote w:type="continuationSeparator" w:id="0">
    <w:p w14:paraId="72E81C5E" w14:textId="77777777" w:rsidR="003C00C2" w:rsidRDefault="003C00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872891B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8449A3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84A33" w14:textId="77777777" w:rsidR="003C00C2" w:rsidRDefault="003C00C2" w:rsidP="004215FE">
      <w:r>
        <w:separator/>
      </w:r>
    </w:p>
  </w:footnote>
  <w:footnote w:type="continuationSeparator" w:id="0">
    <w:p w14:paraId="68BED77A" w14:textId="77777777" w:rsidR="003C00C2" w:rsidRDefault="003C00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50F2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9F2"/>
    <w:rsid w:val="000F14B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57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673A"/>
    <w:rsid w:val="002E4B81"/>
    <w:rsid w:val="00302F85"/>
    <w:rsid w:val="00307F5D"/>
    <w:rsid w:val="003248ED"/>
    <w:rsid w:val="00370080"/>
    <w:rsid w:val="003C00C2"/>
    <w:rsid w:val="003E2FFD"/>
    <w:rsid w:val="003F19A6"/>
    <w:rsid w:val="00402ADD"/>
    <w:rsid w:val="00406FF4"/>
    <w:rsid w:val="00415436"/>
    <w:rsid w:val="0041682E"/>
    <w:rsid w:val="004215FE"/>
    <w:rsid w:val="00423588"/>
    <w:rsid w:val="004242DB"/>
    <w:rsid w:val="00426763"/>
    <w:rsid w:val="00426FD0"/>
    <w:rsid w:val="00441726"/>
    <w:rsid w:val="004505C5"/>
    <w:rsid w:val="00451B01"/>
    <w:rsid w:val="00454A59"/>
    <w:rsid w:val="00455849"/>
    <w:rsid w:val="00471732"/>
    <w:rsid w:val="00476A1C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342F"/>
    <w:rsid w:val="0053000A"/>
    <w:rsid w:val="00544C83"/>
    <w:rsid w:val="00550F13"/>
    <w:rsid w:val="005530AE"/>
    <w:rsid w:val="00555F44"/>
    <w:rsid w:val="00566103"/>
    <w:rsid w:val="005B0A15"/>
    <w:rsid w:val="005E702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0A8C"/>
    <w:rsid w:val="007C1A97"/>
    <w:rsid w:val="007D18C3"/>
    <w:rsid w:val="007E54D8"/>
    <w:rsid w:val="007E5880"/>
    <w:rsid w:val="00800860"/>
    <w:rsid w:val="008071DA"/>
    <w:rsid w:val="008078F8"/>
    <w:rsid w:val="0082410E"/>
    <w:rsid w:val="00830D61"/>
    <w:rsid w:val="008449A3"/>
    <w:rsid w:val="008531D3"/>
    <w:rsid w:val="00860995"/>
    <w:rsid w:val="00865914"/>
    <w:rsid w:val="008669DA"/>
    <w:rsid w:val="0087056D"/>
    <w:rsid w:val="00876F8F"/>
    <w:rsid w:val="00877644"/>
    <w:rsid w:val="00877729"/>
    <w:rsid w:val="00897C37"/>
    <w:rsid w:val="008A22A7"/>
    <w:rsid w:val="008B320C"/>
    <w:rsid w:val="008C73C0"/>
    <w:rsid w:val="008D252E"/>
    <w:rsid w:val="008D7885"/>
    <w:rsid w:val="00912B0B"/>
    <w:rsid w:val="009144E4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6EB2"/>
    <w:rsid w:val="00A06235"/>
    <w:rsid w:val="00A11EC6"/>
    <w:rsid w:val="00A131BD"/>
    <w:rsid w:val="00A32E20"/>
    <w:rsid w:val="00A5368C"/>
    <w:rsid w:val="00A55C32"/>
    <w:rsid w:val="00A62B52"/>
    <w:rsid w:val="00A84B3E"/>
    <w:rsid w:val="00AB5612"/>
    <w:rsid w:val="00AC49AA"/>
    <w:rsid w:val="00AD7A8F"/>
    <w:rsid w:val="00AE7C75"/>
    <w:rsid w:val="00AF5736"/>
    <w:rsid w:val="00B032F7"/>
    <w:rsid w:val="00B035D1"/>
    <w:rsid w:val="00B124CC"/>
    <w:rsid w:val="00B17836"/>
    <w:rsid w:val="00B24C80"/>
    <w:rsid w:val="00B25462"/>
    <w:rsid w:val="00B330BD"/>
    <w:rsid w:val="00B42099"/>
    <w:rsid w:val="00B4292F"/>
    <w:rsid w:val="00B57E8A"/>
    <w:rsid w:val="00B64119"/>
    <w:rsid w:val="00B94C5D"/>
    <w:rsid w:val="00BA4D1B"/>
    <w:rsid w:val="00BA5BB7"/>
    <w:rsid w:val="00BB00D0"/>
    <w:rsid w:val="00BB55EC"/>
    <w:rsid w:val="00BB757B"/>
    <w:rsid w:val="00BC3CCE"/>
    <w:rsid w:val="00BE0EFC"/>
    <w:rsid w:val="00C1184B"/>
    <w:rsid w:val="00C21D14"/>
    <w:rsid w:val="00C24CF7"/>
    <w:rsid w:val="00C42ECB"/>
    <w:rsid w:val="00C4494B"/>
    <w:rsid w:val="00C52A77"/>
    <w:rsid w:val="00C8015E"/>
    <w:rsid w:val="00C820B0"/>
    <w:rsid w:val="00CC6EF3"/>
    <w:rsid w:val="00CD6AEC"/>
    <w:rsid w:val="00CE6849"/>
    <w:rsid w:val="00CF4BBE"/>
    <w:rsid w:val="00CF6CB5"/>
    <w:rsid w:val="00D10224"/>
    <w:rsid w:val="00D24793"/>
    <w:rsid w:val="00D44612"/>
    <w:rsid w:val="00D50299"/>
    <w:rsid w:val="00D64A6F"/>
    <w:rsid w:val="00D74320"/>
    <w:rsid w:val="00D779BF"/>
    <w:rsid w:val="00D83D45"/>
    <w:rsid w:val="00D93937"/>
    <w:rsid w:val="00DA6F7F"/>
    <w:rsid w:val="00DE207A"/>
    <w:rsid w:val="00DE2719"/>
    <w:rsid w:val="00DF1913"/>
    <w:rsid w:val="00E007B4"/>
    <w:rsid w:val="00E234CA"/>
    <w:rsid w:val="00E41364"/>
    <w:rsid w:val="00E61AB4"/>
    <w:rsid w:val="00E70517"/>
    <w:rsid w:val="00E71F6F"/>
    <w:rsid w:val="00E7706B"/>
    <w:rsid w:val="00E870D1"/>
    <w:rsid w:val="00E91D50"/>
    <w:rsid w:val="00ED346E"/>
    <w:rsid w:val="00EE0D6E"/>
    <w:rsid w:val="00EF7423"/>
    <w:rsid w:val="00F27DEC"/>
    <w:rsid w:val="00F3344F"/>
    <w:rsid w:val="00F4194D"/>
    <w:rsid w:val="00F60CF4"/>
    <w:rsid w:val="00FA11E7"/>
    <w:rsid w:val="00FC1F40"/>
    <w:rsid w:val="00FD0F2C"/>
    <w:rsid w:val="00FE362B"/>
    <w:rsid w:val="00FE48C0"/>
    <w:rsid w:val="00FE4F10"/>
    <w:rsid w:val="00FF5ED7"/>
    <w:rsid w:val="00FF6CD1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locked/>
    <w:rsid w:val="00A062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1D5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9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mia.inra.fr/umrf/exploremetab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C48D8-F7BF-4629-B050-5A6ACECE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8184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Muriel Mercier-Bonin</cp:lastModifiedBy>
  <cp:revision>3</cp:revision>
  <dcterms:created xsi:type="dcterms:W3CDTF">2022-05-23T09:22:00Z</dcterms:created>
  <dcterms:modified xsi:type="dcterms:W3CDTF">2022-05-23T10:35:00Z</dcterms:modified>
</cp:coreProperties>
</file>