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43D8" w14:textId="74700FA9" w:rsidR="00BF211E" w:rsidRPr="00D53775" w:rsidRDefault="00BF211E" w:rsidP="00BF211E">
      <w:pPr>
        <w:spacing w:line="480" w:lineRule="auto"/>
        <w:rPr>
          <w:rFonts w:ascii="Arial" w:eastAsia="Arial" w:hAnsi="Arial" w:cs="Arial"/>
          <w:b/>
          <w:bCs/>
          <w:color w:val="000000" w:themeColor="text1"/>
          <w:sz w:val="20"/>
          <w:szCs w:val="20"/>
        </w:rPr>
      </w:pPr>
      <w:r>
        <w:rPr>
          <w:rFonts w:ascii="Arial" w:eastAsia="Arial" w:hAnsi="Arial" w:cs="Arial"/>
          <w:b/>
          <w:bCs/>
          <w:color w:val="000000" w:themeColor="text1"/>
          <w:sz w:val="20"/>
          <w:szCs w:val="20"/>
        </w:rPr>
        <w:t xml:space="preserve">Supplementary File 4 </w:t>
      </w:r>
      <w:r w:rsidRPr="00D53775">
        <w:rPr>
          <w:rFonts w:ascii="Arial" w:eastAsia="Arial" w:hAnsi="Arial" w:cs="Arial"/>
          <w:b/>
          <w:bCs/>
          <w:color w:val="000000" w:themeColor="text1"/>
          <w:sz w:val="20"/>
          <w:szCs w:val="20"/>
        </w:rPr>
        <w:t xml:space="preserve">- Top 10 markers from each </w:t>
      </w:r>
      <w:r>
        <w:rPr>
          <w:rFonts w:ascii="Arial" w:eastAsia="Arial" w:hAnsi="Arial" w:cs="Arial"/>
          <w:b/>
          <w:bCs/>
          <w:color w:val="000000" w:themeColor="text1"/>
          <w:sz w:val="20"/>
          <w:szCs w:val="20"/>
        </w:rPr>
        <w:t>granulosa</w:t>
      </w:r>
      <w:r w:rsidRPr="00D53775">
        <w:rPr>
          <w:rFonts w:ascii="Arial" w:eastAsia="Arial" w:hAnsi="Arial" w:cs="Arial"/>
          <w:b/>
          <w:bCs/>
          <w:color w:val="000000" w:themeColor="text1"/>
          <w:sz w:val="20"/>
          <w:szCs w:val="20"/>
        </w:rPr>
        <w:t xml:space="preserve"> subclusters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112"/>
        <w:gridCol w:w="1499"/>
        <w:gridCol w:w="1112"/>
        <w:gridCol w:w="973"/>
        <w:gridCol w:w="1112"/>
        <w:gridCol w:w="912"/>
        <w:gridCol w:w="1112"/>
      </w:tblGrid>
      <w:tr w:rsidR="00BF211E" w:rsidRPr="00D50FDC" w14:paraId="474F4DB8" w14:textId="77777777" w:rsidTr="00386B4F">
        <w:trPr>
          <w:trHeight w:val="290"/>
        </w:trPr>
        <w:tc>
          <w:tcPr>
            <w:tcW w:w="804" w:type="pct"/>
          </w:tcPr>
          <w:p w14:paraId="28946D84" w14:textId="77777777" w:rsidR="00BF211E" w:rsidRPr="0097360C" w:rsidRDefault="00BF211E" w:rsidP="00386B4F">
            <w:pPr>
              <w:spacing w:after="0" w:line="240" w:lineRule="auto"/>
              <w:rPr>
                <w:rFonts w:ascii="Arial" w:eastAsia="Times New Roman" w:hAnsi="Arial" w:cs="Arial"/>
                <w:color w:val="000000"/>
                <w:sz w:val="18"/>
                <w:szCs w:val="18"/>
              </w:rPr>
            </w:pPr>
            <w:r w:rsidRPr="0097360C">
              <w:rPr>
                <w:rFonts w:ascii="Arial" w:eastAsia="Times New Roman" w:hAnsi="Arial" w:cs="Arial"/>
                <w:b/>
                <w:bCs/>
                <w:color w:val="000000"/>
                <w:sz w:val="18"/>
                <w:szCs w:val="18"/>
              </w:rPr>
              <w:t>Preantral-Cumulus</w:t>
            </w:r>
          </w:p>
        </w:tc>
        <w:tc>
          <w:tcPr>
            <w:tcW w:w="540" w:type="pct"/>
            <w:shd w:val="clear" w:color="auto" w:fill="auto"/>
            <w:noWrap/>
            <w:vAlign w:val="bottom"/>
            <w:hideMark/>
          </w:tcPr>
          <w:p w14:paraId="613A35B2" w14:textId="77777777" w:rsidR="00BF211E" w:rsidRPr="0097360C" w:rsidRDefault="00BF211E" w:rsidP="00386B4F">
            <w:pPr>
              <w:spacing w:after="0" w:line="240" w:lineRule="auto"/>
              <w:rPr>
                <w:rFonts w:ascii="Arial" w:eastAsia="Times New Roman" w:hAnsi="Arial" w:cs="Arial"/>
                <w:color w:val="000000"/>
                <w:sz w:val="18"/>
                <w:szCs w:val="18"/>
              </w:rPr>
            </w:pPr>
            <w:r w:rsidRPr="0097360C">
              <w:rPr>
                <w:rFonts w:ascii="Arial" w:eastAsia="Times New Roman" w:hAnsi="Arial" w:cs="Arial"/>
                <w:color w:val="000000"/>
                <w:sz w:val="18"/>
                <w:szCs w:val="18"/>
              </w:rPr>
              <w:t>avg_log</w:t>
            </w:r>
            <w:r>
              <w:rPr>
                <w:rFonts w:ascii="Arial" w:eastAsia="Times New Roman" w:hAnsi="Arial" w:cs="Arial"/>
                <w:color w:val="000000"/>
                <w:sz w:val="18"/>
                <w:szCs w:val="18"/>
              </w:rPr>
              <w:t>2</w:t>
            </w:r>
            <w:r w:rsidRPr="0097360C">
              <w:rPr>
                <w:rFonts w:ascii="Arial" w:eastAsia="Times New Roman" w:hAnsi="Arial" w:cs="Arial"/>
                <w:color w:val="000000"/>
                <w:sz w:val="18"/>
                <w:szCs w:val="18"/>
              </w:rPr>
              <w:t>FC</w:t>
            </w:r>
          </w:p>
        </w:tc>
        <w:tc>
          <w:tcPr>
            <w:tcW w:w="720" w:type="pct"/>
          </w:tcPr>
          <w:p w14:paraId="112AE3B7" w14:textId="77777777" w:rsidR="00BF211E" w:rsidRDefault="00BF211E" w:rsidP="00386B4F">
            <w:pPr>
              <w:spacing w:after="0" w:line="240" w:lineRule="auto"/>
              <w:rPr>
                <w:rFonts w:ascii="Arial" w:eastAsia="Times New Roman" w:hAnsi="Arial" w:cs="Arial"/>
                <w:b/>
                <w:bCs/>
                <w:color w:val="000000"/>
                <w:sz w:val="18"/>
                <w:szCs w:val="18"/>
              </w:rPr>
            </w:pPr>
          </w:p>
          <w:p w14:paraId="356EB0CF" w14:textId="77777777" w:rsidR="00BF211E" w:rsidRPr="0097360C" w:rsidRDefault="00BF211E" w:rsidP="00386B4F">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Antral-Mural</w:t>
            </w:r>
          </w:p>
        </w:tc>
        <w:tc>
          <w:tcPr>
            <w:tcW w:w="539" w:type="pct"/>
            <w:shd w:val="clear" w:color="auto" w:fill="auto"/>
            <w:noWrap/>
            <w:vAlign w:val="bottom"/>
            <w:hideMark/>
          </w:tcPr>
          <w:p w14:paraId="7281BA0E" w14:textId="77777777" w:rsidR="00BF211E" w:rsidRPr="0097360C" w:rsidRDefault="00BF211E" w:rsidP="00386B4F">
            <w:pPr>
              <w:spacing w:after="0" w:line="240" w:lineRule="auto"/>
              <w:rPr>
                <w:rFonts w:ascii="Arial" w:eastAsia="Times New Roman" w:hAnsi="Arial" w:cs="Arial"/>
                <w:color w:val="000000"/>
                <w:sz w:val="18"/>
                <w:szCs w:val="18"/>
              </w:rPr>
            </w:pPr>
            <w:r w:rsidRPr="0097360C">
              <w:rPr>
                <w:rFonts w:ascii="Arial" w:eastAsia="Times New Roman" w:hAnsi="Arial" w:cs="Arial"/>
                <w:color w:val="000000"/>
                <w:sz w:val="18"/>
                <w:szCs w:val="18"/>
              </w:rPr>
              <w:t>avg_log</w:t>
            </w:r>
            <w:r>
              <w:rPr>
                <w:rFonts w:ascii="Arial" w:eastAsia="Times New Roman" w:hAnsi="Arial" w:cs="Arial"/>
                <w:color w:val="000000"/>
                <w:sz w:val="18"/>
                <w:szCs w:val="18"/>
              </w:rPr>
              <w:t>2</w:t>
            </w:r>
            <w:r w:rsidRPr="0097360C">
              <w:rPr>
                <w:rFonts w:ascii="Arial" w:eastAsia="Times New Roman" w:hAnsi="Arial" w:cs="Arial"/>
                <w:color w:val="000000"/>
                <w:sz w:val="18"/>
                <w:szCs w:val="18"/>
              </w:rPr>
              <w:t>FC</w:t>
            </w:r>
          </w:p>
        </w:tc>
        <w:tc>
          <w:tcPr>
            <w:tcW w:w="578" w:type="pct"/>
          </w:tcPr>
          <w:p w14:paraId="75CBA883" w14:textId="77777777" w:rsidR="00BF211E" w:rsidRDefault="00BF211E" w:rsidP="00386B4F">
            <w:pPr>
              <w:spacing w:after="0" w:line="240" w:lineRule="auto"/>
              <w:rPr>
                <w:rFonts w:ascii="Arial" w:eastAsia="Times New Roman" w:hAnsi="Arial" w:cs="Arial"/>
                <w:b/>
                <w:bCs/>
                <w:color w:val="000000"/>
                <w:sz w:val="18"/>
                <w:szCs w:val="18"/>
              </w:rPr>
            </w:pPr>
          </w:p>
          <w:p w14:paraId="210CAC7E" w14:textId="77777777" w:rsidR="00BF211E" w:rsidRPr="0097360C" w:rsidRDefault="00BF211E" w:rsidP="00386B4F">
            <w:pPr>
              <w:spacing w:after="0" w:line="240" w:lineRule="auto"/>
              <w:rPr>
                <w:rFonts w:ascii="Arial" w:eastAsia="Times New Roman" w:hAnsi="Arial" w:cs="Arial"/>
                <w:b/>
                <w:bCs/>
                <w:color w:val="000000"/>
                <w:sz w:val="18"/>
                <w:szCs w:val="18"/>
              </w:rPr>
            </w:pPr>
            <w:r w:rsidRPr="0097360C">
              <w:rPr>
                <w:rFonts w:ascii="Arial" w:eastAsia="Times New Roman" w:hAnsi="Arial" w:cs="Arial"/>
                <w:b/>
                <w:bCs/>
                <w:color w:val="000000"/>
                <w:sz w:val="18"/>
                <w:szCs w:val="18"/>
              </w:rPr>
              <w:t>Atretic</w:t>
            </w:r>
          </w:p>
        </w:tc>
        <w:tc>
          <w:tcPr>
            <w:tcW w:w="539" w:type="pct"/>
            <w:shd w:val="clear" w:color="auto" w:fill="auto"/>
            <w:noWrap/>
            <w:vAlign w:val="bottom"/>
            <w:hideMark/>
          </w:tcPr>
          <w:p w14:paraId="7E421DD5" w14:textId="77777777" w:rsidR="00BF211E" w:rsidRPr="0097360C" w:rsidRDefault="00BF211E" w:rsidP="00386B4F">
            <w:pPr>
              <w:spacing w:after="0" w:line="240" w:lineRule="auto"/>
              <w:rPr>
                <w:rFonts w:ascii="Arial" w:eastAsia="Times New Roman" w:hAnsi="Arial" w:cs="Arial"/>
                <w:color w:val="000000"/>
                <w:sz w:val="18"/>
                <w:szCs w:val="18"/>
              </w:rPr>
            </w:pPr>
            <w:r w:rsidRPr="0097360C">
              <w:rPr>
                <w:rFonts w:ascii="Arial" w:eastAsia="Times New Roman" w:hAnsi="Arial" w:cs="Arial"/>
                <w:color w:val="000000"/>
                <w:sz w:val="18"/>
                <w:szCs w:val="18"/>
              </w:rPr>
              <w:t>avg_log</w:t>
            </w:r>
            <w:r>
              <w:rPr>
                <w:rFonts w:ascii="Arial" w:eastAsia="Times New Roman" w:hAnsi="Arial" w:cs="Arial"/>
                <w:color w:val="000000"/>
                <w:sz w:val="18"/>
                <w:szCs w:val="18"/>
              </w:rPr>
              <w:t>2</w:t>
            </w:r>
            <w:r w:rsidRPr="0097360C">
              <w:rPr>
                <w:rFonts w:ascii="Arial" w:eastAsia="Times New Roman" w:hAnsi="Arial" w:cs="Arial"/>
                <w:color w:val="000000"/>
                <w:sz w:val="18"/>
                <w:szCs w:val="18"/>
              </w:rPr>
              <w:t>FC</w:t>
            </w:r>
          </w:p>
        </w:tc>
        <w:tc>
          <w:tcPr>
            <w:tcW w:w="741" w:type="pct"/>
          </w:tcPr>
          <w:p w14:paraId="497F8032" w14:textId="77777777" w:rsidR="00BF211E" w:rsidRDefault="00BF211E" w:rsidP="00386B4F">
            <w:pPr>
              <w:spacing w:after="0" w:line="240" w:lineRule="auto"/>
              <w:rPr>
                <w:rFonts w:ascii="Arial" w:eastAsia="Times New Roman" w:hAnsi="Arial" w:cs="Arial"/>
                <w:b/>
                <w:bCs/>
                <w:color w:val="000000"/>
                <w:sz w:val="18"/>
                <w:szCs w:val="18"/>
              </w:rPr>
            </w:pPr>
          </w:p>
          <w:p w14:paraId="3B65D5E8" w14:textId="77777777" w:rsidR="00BF211E" w:rsidRPr="0097360C" w:rsidRDefault="00BF211E" w:rsidP="00386B4F">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Mitotic</w:t>
            </w:r>
          </w:p>
        </w:tc>
        <w:tc>
          <w:tcPr>
            <w:tcW w:w="539" w:type="pct"/>
            <w:shd w:val="clear" w:color="auto" w:fill="auto"/>
            <w:noWrap/>
            <w:vAlign w:val="bottom"/>
            <w:hideMark/>
          </w:tcPr>
          <w:p w14:paraId="4CCBF3A8" w14:textId="77777777" w:rsidR="00BF211E" w:rsidRPr="0097360C" w:rsidRDefault="00BF211E" w:rsidP="00386B4F">
            <w:pPr>
              <w:spacing w:after="0" w:line="240" w:lineRule="auto"/>
              <w:rPr>
                <w:rFonts w:ascii="Arial" w:eastAsia="Times New Roman" w:hAnsi="Arial" w:cs="Arial"/>
                <w:color w:val="000000"/>
                <w:sz w:val="18"/>
                <w:szCs w:val="18"/>
              </w:rPr>
            </w:pPr>
            <w:r w:rsidRPr="0097360C">
              <w:rPr>
                <w:rFonts w:ascii="Arial" w:eastAsia="Times New Roman" w:hAnsi="Arial" w:cs="Arial"/>
                <w:color w:val="000000"/>
                <w:sz w:val="18"/>
                <w:szCs w:val="18"/>
              </w:rPr>
              <w:t>avg_log</w:t>
            </w:r>
            <w:r>
              <w:rPr>
                <w:rFonts w:ascii="Arial" w:eastAsia="Times New Roman" w:hAnsi="Arial" w:cs="Arial"/>
                <w:color w:val="000000"/>
                <w:sz w:val="18"/>
                <w:szCs w:val="18"/>
              </w:rPr>
              <w:t>2</w:t>
            </w:r>
            <w:r w:rsidRPr="0097360C">
              <w:rPr>
                <w:rFonts w:ascii="Arial" w:eastAsia="Times New Roman" w:hAnsi="Arial" w:cs="Arial"/>
                <w:color w:val="000000"/>
                <w:sz w:val="18"/>
                <w:szCs w:val="18"/>
              </w:rPr>
              <w:t>FC</w:t>
            </w:r>
          </w:p>
        </w:tc>
      </w:tr>
      <w:tr w:rsidR="00BF211E" w:rsidRPr="00D50FDC" w14:paraId="45FDAF6D" w14:textId="77777777" w:rsidTr="00386B4F">
        <w:trPr>
          <w:trHeight w:val="290"/>
        </w:trPr>
        <w:tc>
          <w:tcPr>
            <w:tcW w:w="804" w:type="pct"/>
            <w:vAlign w:val="bottom"/>
          </w:tcPr>
          <w:p w14:paraId="486575F1" w14:textId="6B266EAE" w:rsidR="00BF211E" w:rsidRPr="00C6017F" w:rsidRDefault="00BF211E" w:rsidP="00386B4F">
            <w:pPr>
              <w:spacing w:after="0" w:line="240" w:lineRule="auto"/>
              <w:rPr>
                <w:rFonts w:ascii="Arial" w:hAnsi="Arial" w:cs="Arial"/>
                <w:color w:val="000000"/>
                <w:sz w:val="18"/>
                <w:szCs w:val="18"/>
              </w:rPr>
            </w:pPr>
            <w:proofErr w:type="spellStart"/>
            <w:r w:rsidRPr="00C6017F">
              <w:rPr>
                <w:rFonts w:ascii="Arial" w:hAnsi="Arial" w:cs="Arial"/>
                <w:color w:val="000000"/>
                <w:sz w:val="18"/>
                <w:szCs w:val="18"/>
              </w:rPr>
              <w:t>Gatm</w:t>
            </w:r>
            <w:proofErr w:type="spellEnd"/>
            <w:r>
              <w:rPr>
                <w:rFonts w:ascii="Arial" w:hAnsi="Arial" w:cs="Arial"/>
                <w:color w:val="000000"/>
                <w:sz w:val="18"/>
                <w:szCs w:val="18"/>
              </w:rPr>
              <w:t xml:space="preserve"> </w:t>
            </w:r>
            <w:r w:rsidRPr="00D50FDC">
              <w:rPr>
                <w:rFonts w:ascii="Arial" w:eastAsia="Times New Roman" w:hAnsi="Arial" w:cs="Arial"/>
                <w:color w:val="000000"/>
                <w:sz w:val="18"/>
                <w:szCs w:val="18"/>
              </w:rPr>
              <w:fldChar w:fldCharType="begin"/>
            </w:r>
            <w:r w:rsidR="001C71BD">
              <w:rPr>
                <w:rFonts w:ascii="Arial" w:eastAsia="Times New Roman" w:hAnsi="Arial" w:cs="Arial"/>
                <w:color w:val="000000"/>
                <w:sz w:val="18"/>
                <w:szCs w:val="18"/>
              </w:rPr>
              <w:instrText xml:space="preserve"> ADDIN ZOTERO_ITEM CSL_CITATION {"citationID":"fQwHlQmS","properties":{"formattedCitation":"(1)","plainCitation":"(1)","noteIndex":0},"citationItems":[{"id":107,"uris":["http://zotero.org/users/local/Cg9l0yK5/items/QJGIPNB5"],"itemData":{"id":107,"type":"article-journal","abstract":"The ovary is perhaps the most dynamic organ in the human body, only rivaled by the uterus. The molecular mechanisms that regulate follicular growth and regression,  ensuring ovarian tissue homeostasis, remain elusive. We have performed single-cell  RNA-sequencing using human adult ovaries to provide a map of the molecular signature  of growing and regressing follicular populations. We have identified different types  of granulosa and theca cells and detected local production of components of the  complement system by (atretic) theca cells and stromal cells. We also have detected  a mixture of adaptive and innate immune cells, as well as several types of  endothelial and smooth muscle cells to aid the remodeling process. Our results  highlight the relevance of mapping whole adult organs at the single-cell level and  reflect ongoing efforts to map the human body. The association between complement  system and follicular remodeling may provide key insights in reproductive biology  and (in)fertility.","container-title":"Nature communications","DOI":"10.1038/s41467-019-11036-9","ISSN":"2041-1723","issue":"1","journalAbbreviation":"Nat Commun","language":"eng","note":"PMID: 31320652 \nPMCID: PMC6639403","page":"3164","title":"Single-cell reconstruction of follicular remodeling in the human adult ovary.","volume":"10","author":[{"family":"Fan","given":"X."},{"family":"Bialecka","given":"M."},{"family":"Moustakas","given":"I."},{"family":"Lam","given":"E."},{"family":"Torrens-Juaneda","given":"V."},{"family":"Borggreven","given":"N. V."},{"family":"Trouw","given":"L."},{"family":"Louwe","given":"L. A."},{"family":"Pilgram","given":"G. S. K."},{"family":"Mei","given":"H."},{"family":"Westerlaken","given":"L.","non-dropping-particle":"van der"},{"family":"Chuva de Sousa Lopes","given":"S. M."}],"issued":{"date-parts":[["2019",7,18]]}}}],"schema":"https://github.com/citation-style-language/schema/raw/master/csl-citation.json"} </w:instrText>
            </w:r>
            <w:r w:rsidRPr="00D50FDC">
              <w:rPr>
                <w:rFonts w:ascii="Arial" w:eastAsia="Times New Roman" w:hAnsi="Arial" w:cs="Arial"/>
                <w:color w:val="000000"/>
                <w:sz w:val="18"/>
                <w:szCs w:val="18"/>
              </w:rPr>
              <w:fldChar w:fldCharType="separate"/>
            </w:r>
            <w:r w:rsidR="001C71BD" w:rsidRPr="001C71BD">
              <w:rPr>
                <w:rFonts w:ascii="Arial" w:hAnsi="Arial" w:cs="Arial"/>
                <w:sz w:val="18"/>
              </w:rPr>
              <w:t>(1)</w:t>
            </w:r>
            <w:r w:rsidRPr="00D50FDC">
              <w:rPr>
                <w:rFonts w:ascii="Arial" w:eastAsia="Times New Roman" w:hAnsi="Arial" w:cs="Arial"/>
                <w:color w:val="000000"/>
                <w:sz w:val="18"/>
                <w:szCs w:val="18"/>
              </w:rPr>
              <w:fldChar w:fldCharType="end"/>
            </w:r>
          </w:p>
        </w:tc>
        <w:tc>
          <w:tcPr>
            <w:tcW w:w="540" w:type="pct"/>
            <w:shd w:val="clear" w:color="auto" w:fill="auto"/>
            <w:noWrap/>
            <w:vAlign w:val="bottom"/>
            <w:hideMark/>
          </w:tcPr>
          <w:p w14:paraId="776A802E" w14:textId="77777777" w:rsidR="00BF211E" w:rsidRPr="00A23139" w:rsidRDefault="00BF211E" w:rsidP="00386B4F">
            <w:pPr>
              <w:spacing w:after="0" w:line="240" w:lineRule="auto"/>
              <w:jc w:val="right"/>
              <w:rPr>
                <w:rFonts w:ascii="Arial" w:eastAsia="Times New Roman" w:hAnsi="Arial" w:cs="Arial"/>
                <w:color w:val="000000"/>
                <w:sz w:val="18"/>
                <w:szCs w:val="18"/>
              </w:rPr>
            </w:pPr>
            <w:r w:rsidRPr="00A23139">
              <w:rPr>
                <w:rFonts w:ascii="Arial" w:hAnsi="Arial" w:cs="Arial"/>
                <w:color w:val="000000"/>
                <w:sz w:val="18"/>
                <w:szCs w:val="18"/>
              </w:rPr>
              <w:t>2.13</w:t>
            </w:r>
          </w:p>
        </w:tc>
        <w:tc>
          <w:tcPr>
            <w:tcW w:w="720" w:type="pct"/>
            <w:vAlign w:val="bottom"/>
          </w:tcPr>
          <w:p w14:paraId="4BC4588D" w14:textId="0E016FBF" w:rsidR="00BF211E" w:rsidRPr="00EB5F70" w:rsidRDefault="00BF211E" w:rsidP="00386B4F">
            <w:pPr>
              <w:spacing w:after="0" w:line="240" w:lineRule="auto"/>
              <w:rPr>
                <w:rFonts w:ascii="Arial" w:eastAsia="Times New Roman" w:hAnsi="Arial" w:cs="Arial"/>
                <w:color w:val="000000"/>
                <w:sz w:val="18"/>
                <w:szCs w:val="18"/>
              </w:rPr>
            </w:pPr>
            <w:proofErr w:type="spellStart"/>
            <w:r w:rsidRPr="00EB5F70">
              <w:rPr>
                <w:rFonts w:ascii="Arial" w:hAnsi="Arial" w:cs="Arial"/>
                <w:color w:val="000000"/>
                <w:sz w:val="18"/>
                <w:szCs w:val="18"/>
              </w:rPr>
              <w:t>Inhba</w:t>
            </w:r>
            <w:proofErr w:type="spellEnd"/>
            <w:r w:rsidRPr="00EB5F70">
              <w:rPr>
                <w:rFonts w:ascii="Arial" w:hAnsi="Arial" w:cs="Arial"/>
                <w:color w:val="000000"/>
                <w:sz w:val="18"/>
                <w:szCs w:val="18"/>
              </w:rPr>
              <w:t xml:space="preserve"> </w:t>
            </w:r>
            <w:r w:rsidRPr="00EB5F70">
              <w:rPr>
                <w:rFonts w:ascii="Arial" w:eastAsia="Times New Roman" w:hAnsi="Arial" w:cs="Arial"/>
                <w:color w:val="000000"/>
                <w:sz w:val="18"/>
                <w:szCs w:val="18"/>
              </w:rPr>
              <w:fldChar w:fldCharType="begin"/>
            </w:r>
            <w:r w:rsidR="001C71BD">
              <w:rPr>
                <w:rFonts w:ascii="Arial" w:eastAsia="Times New Roman" w:hAnsi="Arial" w:cs="Arial"/>
                <w:color w:val="000000"/>
                <w:sz w:val="18"/>
                <w:szCs w:val="18"/>
              </w:rPr>
              <w:instrText xml:space="preserve"> ADDIN ZOTERO_ITEM CSL_CITATION {"citationID":"q6CXyy0D","properties":{"formattedCitation":"(2,3)","plainCitation":"(2,3)","noteIndex":0},"citationItems":[{"id":116,"uris":["http://zotero.org/users/local/Cg9l0yK5/items/5TRFHUI7"],"itemData":{"id":116,"type":"article-journal","abstract":"Follicular growth, development and ovulation are highly ordered processes that involve the expression of many genes under precise temporal and spatial regulation.  However, information on stage-specific gene expression during the antral follicle  phase in sheep is not well understood. In the present study, suppressive subtractive  hybridization (SSH) was performed to screen genes that were differentially expressed  in the granulosa cells between large follicles (LF, &gt;5mm) and small follicles (SF,  3-5mm), and subtractive cDNA library was constructed. Furthermore, with dot-blot  analysis, a total of 90 clones randomly selected from the library were proven to be  differentially expressed in the granulosa cells. Among these, 38 exhibited high  homology to known genes, 14 sequences were corresponding to novel expressed sequence  tags (ESTs). Four ESTs, LAPTM4A, SERPINE2, GSTA1, and INHBA, were further examined  the reproducibility of the SSH data by the real-time quantitative PCR. Results  confirmed an increase expression of respective mRNA in granulosa cells of large  follicles compared with that of small follicles. It is concluded that we have  identified several genes (known or unknown) that may effect follicular growth,  dominance or ovulation in ewes.","container-title":"Animal reproduction science","DOI":"10.1016/j.anireprosci.2008.10.022","ISSN":"1873-2232 0378-4320","issue":"1-4","journalAbbreviation":"Anim Reprod Sci","language":"eng","note":"publisher-place: Netherlands\nPMID: 19211204","page":"39-48","title":"Analysis of gene expression in granulosa cells of ovine antral growing follicles using suppressive subtractive hybridization.","volume":"115","author":[{"family":"Chen","given":"A. Qin"},{"family":"Wang","given":"Zheng Guang"},{"family":"Xu","given":"Zi Rong"},{"family":"Yu","given":"Song Dong"},{"family":"Yang","given":"Zhi Gang"}],"issued":{"date-parts":[["2009",10]]}}},{"id":54,"uris":["http://zotero.org/users/local/Cg9l0yK5/items/YKGGLU2B"],"itemData":{"id":54,"type":"article-journal","abstract":"Cumulus cells and mural granulosa cells (MGCs) have functionally distinct roles in antral follicles, and comparison of their transcriptomes at a global and systems  level can propel future studies on mechanisms underlying their functional diversity.  These cells were isolated from small and large antral follicles before and after  stimulation of immature mice with gonadotropins, respectively. Both cell types  underwent dramatic transcriptomic changes, and differences between them increased  with follicular growth. Although cumulus cells of both stages of follicular  development are competent to undergo expansion in vitro, they were otherwise  remarkably dissimilar with transcriptomic changes quantitatively equivalent to those  of MGCs. Gene ontology analysis revealed that cumulus cells of small follicles were  enriched in transcripts generally associated with catalytic components of metabolic  processes, while those from large follicles were involved in regulation of  metabolism, cell differentiation, and adhesion. Contrast of cumulus cells versus  MGCs revealed that cumulus cells were enriched in transcripts associated with  metabolism and cell proliferation while MGCs were enriched for transcripts involved  in cell signaling and differentiation. In vitro and in vivo models were used to test  the hypothesis that higher levels of transcripts in cumulus cells versus MGCs is the  result of stimulation by oocyte-derived paracrine factors (ODPFs). Surprisingly </w:instrText>
            </w:r>
            <w:r w:rsidR="001C71BD">
              <w:rPr>
                <w:rFonts w:ascii="Cambria Math" w:eastAsia="Times New Roman" w:hAnsi="Cambria Math" w:cs="Cambria Math"/>
                <w:color w:val="000000"/>
                <w:sz w:val="18"/>
                <w:szCs w:val="18"/>
              </w:rPr>
              <w:instrText>∼</w:instrText>
            </w:r>
            <w:r w:rsidR="001C71BD">
              <w:rPr>
                <w:rFonts w:ascii="Arial" w:eastAsia="Times New Roman" w:hAnsi="Arial" w:cs="Arial"/>
                <w:color w:val="000000"/>
                <w:sz w:val="18"/>
                <w:szCs w:val="18"/>
              </w:rPr>
              <w:instrText xml:space="preserve">48%  of transcripts higher in cumulus cells than MGCs were not stimulated by ODPFs. Those  stimulated by ODPFs were mainly associated with cell division, mRNA processing, or  the catalytic pathways of metabolism, while those not stimulated by ODPFs were  associated with regulatory processes such as signaling, transcription,  phosphorylation, or the regulation of metabolism.","container-title":"Biology of reproduction","DOI":"10.1095/biolreprod.114.121756","ISSN":"1529-7268 0006-3363","issue":"1","journalAbbreviation":"Biol Reprod","language":"eng","license":"© 2015 by the Society for the Study of Reproduction, Inc.","note":"PMID: 25376232 \nPMCID: PMC4434932","page":"23","title":"Transcriptomic diversification of developing cumulus and mural granulosa cells in mouse ovarian follicles.","volume":"92","author":[{"family":"Wigglesworth","given":"Karen"},{"family":"Lee","given":"Kyung-Bon"},{"family":"Emori","given":"Chihiro"},{"family":"Sugiura","given":"Koji"},{"family":"Eppig","given":"John J."}],"issued":{"date-parts":[["2015",1]]}}}],"schema":"https://github.com/citation-style-language/schema/raw/master/csl-citation.json"} </w:instrText>
            </w:r>
            <w:r w:rsidRPr="00EB5F70">
              <w:rPr>
                <w:rFonts w:ascii="Arial" w:eastAsia="Times New Roman" w:hAnsi="Arial" w:cs="Arial"/>
                <w:color w:val="000000"/>
                <w:sz w:val="18"/>
                <w:szCs w:val="18"/>
              </w:rPr>
              <w:fldChar w:fldCharType="separate"/>
            </w:r>
            <w:r w:rsidR="001C71BD" w:rsidRPr="001C71BD">
              <w:rPr>
                <w:rFonts w:ascii="Arial" w:hAnsi="Arial" w:cs="Arial"/>
                <w:sz w:val="18"/>
              </w:rPr>
              <w:t>(2,3)</w:t>
            </w:r>
            <w:r w:rsidRPr="00EB5F70">
              <w:rPr>
                <w:rFonts w:ascii="Arial" w:eastAsia="Times New Roman" w:hAnsi="Arial" w:cs="Arial"/>
                <w:color w:val="000000"/>
                <w:sz w:val="18"/>
                <w:szCs w:val="18"/>
              </w:rPr>
              <w:fldChar w:fldCharType="end"/>
            </w:r>
          </w:p>
        </w:tc>
        <w:tc>
          <w:tcPr>
            <w:tcW w:w="539" w:type="pct"/>
            <w:shd w:val="clear" w:color="auto" w:fill="auto"/>
            <w:noWrap/>
            <w:vAlign w:val="bottom"/>
            <w:hideMark/>
          </w:tcPr>
          <w:p w14:paraId="4685EC2B" w14:textId="77777777" w:rsidR="00BF211E" w:rsidRPr="00EB5F70" w:rsidRDefault="00BF211E" w:rsidP="00386B4F">
            <w:pPr>
              <w:spacing w:after="0" w:line="240" w:lineRule="auto"/>
              <w:jc w:val="right"/>
              <w:rPr>
                <w:rFonts w:ascii="Arial" w:eastAsia="Times New Roman" w:hAnsi="Arial" w:cs="Arial"/>
                <w:color w:val="000000"/>
                <w:sz w:val="18"/>
                <w:szCs w:val="18"/>
              </w:rPr>
            </w:pPr>
            <w:r w:rsidRPr="00EB5F70">
              <w:rPr>
                <w:rFonts w:ascii="Arial" w:hAnsi="Arial" w:cs="Arial"/>
                <w:color w:val="000000"/>
                <w:sz w:val="18"/>
                <w:szCs w:val="18"/>
              </w:rPr>
              <w:t>2.25</w:t>
            </w:r>
          </w:p>
        </w:tc>
        <w:tc>
          <w:tcPr>
            <w:tcW w:w="578" w:type="pct"/>
            <w:vAlign w:val="bottom"/>
          </w:tcPr>
          <w:p w14:paraId="1AC20A63" w14:textId="77777777" w:rsidR="00BF211E" w:rsidRPr="00A23139" w:rsidRDefault="00BF211E" w:rsidP="00386B4F">
            <w:pPr>
              <w:spacing w:after="0" w:line="240" w:lineRule="auto"/>
              <w:rPr>
                <w:rFonts w:ascii="Arial" w:eastAsia="Times New Roman" w:hAnsi="Arial" w:cs="Arial"/>
                <w:color w:val="000000"/>
                <w:sz w:val="18"/>
                <w:szCs w:val="18"/>
                <w:lang w:val="fr-FR"/>
              </w:rPr>
            </w:pPr>
            <w:proofErr w:type="spellStart"/>
            <w:r w:rsidRPr="00A23139">
              <w:rPr>
                <w:rFonts w:ascii="Arial" w:hAnsi="Arial" w:cs="Arial"/>
                <w:color w:val="000000"/>
                <w:sz w:val="18"/>
                <w:szCs w:val="18"/>
              </w:rPr>
              <w:t>Ghr</w:t>
            </w:r>
            <w:proofErr w:type="spellEnd"/>
          </w:p>
        </w:tc>
        <w:tc>
          <w:tcPr>
            <w:tcW w:w="539" w:type="pct"/>
            <w:shd w:val="clear" w:color="auto" w:fill="auto"/>
            <w:noWrap/>
            <w:vAlign w:val="bottom"/>
            <w:hideMark/>
          </w:tcPr>
          <w:p w14:paraId="2115267F" w14:textId="77777777" w:rsidR="00BF211E" w:rsidRPr="00A23139" w:rsidRDefault="00BF211E" w:rsidP="00386B4F">
            <w:pPr>
              <w:spacing w:after="0" w:line="240" w:lineRule="auto"/>
              <w:jc w:val="right"/>
              <w:rPr>
                <w:rFonts w:ascii="Arial" w:eastAsia="Times New Roman" w:hAnsi="Arial" w:cs="Arial"/>
                <w:color w:val="000000"/>
                <w:sz w:val="18"/>
                <w:szCs w:val="18"/>
              </w:rPr>
            </w:pPr>
            <w:r w:rsidRPr="00A23139">
              <w:rPr>
                <w:rFonts w:ascii="Arial" w:hAnsi="Arial" w:cs="Arial"/>
                <w:color w:val="000000"/>
                <w:sz w:val="18"/>
                <w:szCs w:val="18"/>
              </w:rPr>
              <w:t>1.85</w:t>
            </w:r>
          </w:p>
        </w:tc>
        <w:tc>
          <w:tcPr>
            <w:tcW w:w="741" w:type="pct"/>
            <w:vAlign w:val="bottom"/>
          </w:tcPr>
          <w:p w14:paraId="4372A842" w14:textId="16D482AA" w:rsidR="00BF211E" w:rsidRPr="0097360C" w:rsidRDefault="00BF211E" w:rsidP="00386B4F">
            <w:pPr>
              <w:spacing w:after="0" w:line="240" w:lineRule="auto"/>
              <w:rPr>
                <w:rFonts w:ascii="Arial" w:eastAsia="Times New Roman" w:hAnsi="Arial" w:cs="Arial"/>
                <w:color w:val="000000"/>
                <w:sz w:val="18"/>
                <w:szCs w:val="18"/>
              </w:rPr>
            </w:pPr>
            <w:r>
              <w:rPr>
                <w:rFonts w:ascii="Calibri" w:hAnsi="Calibri" w:cs="Calibri"/>
                <w:color w:val="000000"/>
              </w:rPr>
              <w:t xml:space="preserve">Top2a </w:t>
            </w:r>
            <w:r w:rsidRPr="00D50FDC">
              <w:rPr>
                <w:rFonts w:ascii="Arial" w:eastAsia="Times New Roman" w:hAnsi="Arial" w:cs="Arial"/>
                <w:color w:val="000000"/>
                <w:sz w:val="18"/>
                <w:szCs w:val="18"/>
              </w:rPr>
              <w:fldChar w:fldCharType="begin"/>
            </w:r>
            <w:r w:rsidR="001C71BD">
              <w:rPr>
                <w:rFonts w:ascii="Arial" w:eastAsia="Times New Roman" w:hAnsi="Arial" w:cs="Arial"/>
                <w:color w:val="000000"/>
                <w:sz w:val="18"/>
                <w:szCs w:val="18"/>
              </w:rPr>
              <w:instrText xml:space="preserve"> ADDIN ZOTERO_ITEM CSL_CITATION {"citationID":"Ew4QffZ5","properties":{"formattedCitation":"(4)","plainCitation":"(4)","noteIndex":0},"citationItems":[{"id":283,"uris":["http://zotero.org/users/local/Cg9l0yK5/items/7FG7DEMQ"],"itemData":{"id":283,"type":"article-journal","abstract":"Type II topoisomerases are ubiquitous enzymes in all branches of life that can alter DNA superhelicity and unlink double-stranded DNA segments during processes such as  replication and transcription. In cells, type II topoisomerases are particularly  useful for their ability to disentangle newly-replicated sister chromosomes. Growing  lines of evidence indicate that eukaryotic topoisomerase II (topo II) activity is  monitored and regulated throughout the cell cycle. Here, we discuss the various  roles of topo II throughout the cell cycle, as well as mechanisms that have been  found to govern and/or respond to topo II function and dysfunction. Knowledge of how  topo II activity is controlled during cell cycle progression is important for  understanding how its misregulation can contribute to genetic instability and how  modulatory pathways may be exploited to advance chemotherapeutic development.","container-title":"Genes","DOI":"10.3390/genes10110859","ISSN":"2073-4425","issue":"11","journalAbbreviation":"Genes (Basel)","language":"eng","note":"PMID: 31671531 \nPMCID: PMC6896119","title":"Cell Cycle-Dependent Control and Roles of DNA Topoisomerase II.","volume":"10","author":[{"family":"Lee","given":"Joyce H."},{"family":"Berger","given":"James M."}],"issued":{"date-parts":[["2019",10,30]]}}}],"schema":"https://github.com/citation-style-language/schema/raw/master/csl-citation.json"} </w:instrText>
            </w:r>
            <w:r w:rsidRPr="00D50FDC">
              <w:rPr>
                <w:rFonts w:ascii="Arial" w:eastAsia="Times New Roman" w:hAnsi="Arial" w:cs="Arial"/>
                <w:color w:val="000000"/>
                <w:sz w:val="18"/>
                <w:szCs w:val="18"/>
              </w:rPr>
              <w:fldChar w:fldCharType="separate"/>
            </w:r>
            <w:r w:rsidR="001C71BD" w:rsidRPr="001C71BD">
              <w:rPr>
                <w:rFonts w:ascii="Arial" w:hAnsi="Arial" w:cs="Arial"/>
                <w:sz w:val="18"/>
              </w:rPr>
              <w:t>(4)</w:t>
            </w:r>
            <w:r w:rsidRPr="00D50FDC">
              <w:rPr>
                <w:rFonts w:ascii="Arial" w:eastAsia="Times New Roman" w:hAnsi="Arial" w:cs="Arial"/>
                <w:color w:val="000000"/>
                <w:sz w:val="18"/>
                <w:szCs w:val="18"/>
              </w:rPr>
              <w:fldChar w:fldCharType="end"/>
            </w:r>
          </w:p>
        </w:tc>
        <w:tc>
          <w:tcPr>
            <w:tcW w:w="539" w:type="pct"/>
            <w:shd w:val="clear" w:color="auto" w:fill="auto"/>
            <w:noWrap/>
            <w:vAlign w:val="bottom"/>
            <w:hideMark/>
          </w:tcPr>
          <w:p w14:paraId="20ADC8D1" w14:textId="77777777" w:rsidR="00BF211E" w:rsidRPr="00EB5F70" w:rsidRDefault="00BF211E" w:rsidP="00386B4F">
            <w:pPr>
              <w:spacing w:after="0" w:line="240" w:lineRule="auto"/>
              <w:jc w:val="right"/>
              <w:rPr>
                <w:rFonts w:ascii="Arial" w:eastAsia="Times New Roman" w:hAnsi="Arial" w:cs="Arial"/>
                <w:color w:val="000000"/>
                <w:sz w:val="18"/>
                <w:szCs w:val="18"/>
              </w:rPr>
            </w:pPr>
            <w:r w:rsidRPr="00EB5F70">
              <w:rPr>
                <w:rFonts w:ascii="Arial" w:hAnsi="Arial" w:cs="Arial"/>
                <w:color w:val="000000"/>
                <w:sz w:val="18"/>
                <w:szCs w:val="18"/>
              </w:rPr>
              <w:t>2.30</w:t>
            </w:r>
          </w:p>
        </w:tc>
      </w:tr>
      <w:tr w:rsidR="00BF211E" w:rsidRPr="00D50FDC" w14:paraId="3F0E678B" w14:textId="77777777" w:rsidTr="00386B4F">
        <w:trPr>
          <w:trHeight w:val="290"/>
        </w:trPr>
        <w:tc>
          <w:tcPr>
            <w:tcW w:w="804" w:type="pct"/>
            <w:vAlign w:val="bottom"/>
          </w:tcPr>
          <w:p w14:paraId="303FB699" w14:textId="72C9E478" w:rsidR="00BF211E" w:rsidRPr="00C6017F" w:rsidRDefault="00BF211E" w:rsidP="00386B4F">
            <w:pPr>
              <w:spacing w:after="0" w:line="240" w:lineRule="auto"/>
              <w:rPr>
                <w:rFonts w:ascii="Arial" w:hAnsi="Arial" w:cs="Arial"/>
                <w:color w:val="000000"/>
                <w:sz w:val="18"/>
                <w:szCs w:val="18"/>
              </w:rPr>
            </w:pPr>
            <w:r w:rsidRPr="00C6017F">
              <w:rPr>
                <w:rFonts w:ascii="Arial" w:hAnsi="Arial" w:cs="Arial"/>
                <w:color w:val="000000"/>
                <w:sz w:val="18"/>
                <w:szCs w:val="18"/>
              </w:rPr>
              <w:t>Kctd14</w:t>
            </w:r>
            <w:r w:rsidRPr="0097360C">
              <w:rPr>
                <w:rFonts w:ascii="Arial" w:eastAsia="Times New Roman" w:hAnsi="Arial" w:cs="Arial"/>
                <w:color w:val="000000"/>
                <w:sz w:val="18"/>
                <w:szCs w:val="18"/>
              </w:rPr>
              <w:t xml:space="preserve"> </w:t>
            </w:r>
            <w:r w:rsidRPr="00D50FDC">
              <w:rPr>
                <w:rFonts w:ascii="Arial" w:eastAsia="Times New Roman" w:hAnsi="Arial" w:cs="Arial"/>
                <w:color w:val="000000"/>
                <w:sz w:val="18"/>
                <w:szCs w:val="18"/>
              </w:rPr>
              <w:fldChar w:fldCharType="begin"/>
            </w:r>
            <w:r w:rsidR="001C71BD">
              <w:rPr>
                <w:rFonts w:ascii="Arial" w:eastAsia="Times New Roman" w:hAnsi="Arial" w:cs="Arial"/>
                <w:color w:val="000000"/>
                <w:sz w:val="18"/>
                <w:szCs w:val="18"/>
              </w:rPr>
              <w:instrText xml:space="preserve"> ADDIN ZOTERO_ITEM CSL_CITATION {"citationID":"UG82HWfW","properties":{"formattedCitation":"(5)","plainCitation":"(5)","noteIndex":0},"citationItems":[{"id":3,"uris":["http://zotero.org/users/local/Cg9l0yK5/items/4RLJS23F"],"itemData":{"id":3,"type":"article-journal","abstract":"Müllerian inhibiting substance (MIS/AMH), produced by granulosa cells of growing follicles, is an important regulator of folliculogenesis and follicle development.  Treatment with exogenous MIS in mice suppresses follicle development and prevents  ovulation. To investigate the mechanisms by which MIS inhibits follicle development,  we performed single-cell RNA sequencing of whole neonatal ovaries treated with MIS  at birth and analyzed at postnatal day 6, coinciding with the first wave of follicle  growth. We identified distinct transcriptional signatures associated with MIS  responses in the ovarian cell types. MIS treatment inhibited proliferation in  granulosa, surface epithelial, and stromal cell types of the ovary and elicited a  unique signature of quiescence in granulosa cells. In addition to decreasing the  number of growing preantral follicles, we found that MIS treatment uncoupled the  maturation of germ cells and granulosa cells. In conclusion, MIS suppressed neonatal  follicle development by inhibiting proliferation, imposing a quiescent cell state,  and preventing granulosa cell differentiation.","container-title":"Proceedings of the National Academy of Sciences of the United States of America","DOI":"10.1073/pnas.2100920118","ISSN":"1091-6490 0027-8424","issue":"20","journalAbbreviation":"Proc Natl Acad Sci U S A","language":"eng","license":"Copyright © 2021 the Author(s). Published by PNAS.","note":"PMID: 33980714 \nPMCID: PMC8157966","title":"Single-cell sequencing reveals suppressive transcriptional programs regulated by MIS/AMH in neonatal ovaries.","volume":"118","author":[{"family":"Meinsohn","given":"Marie-Charlotte"},{"family":"Saatcioglu","given":"Hatice D."},{"family":"Wei","given":"Lina"},{"family":"Li","given":"Yi"},{"family":"Horn","given":"Heiko"},{"family":"Chauvin","given":"Maeva"},{"family":"Kano","given":"Motohiro"},{"family":"Nguyen","given":"Ngoc Minh Phuong"},{"family":"Nagykery","given":"Nicholas"},{"family":"Kashiwagi","given":"Aki"},{"family":"Samore","given":"Wesley R."},{"family":"Wang","given":"Dan"},{"family":"Oliva","given":"Esther"},{"family":"Gao","given":"Guangping"},{"family":"Morris","given":"Mary E."},{"family":"Donahoe","given":"Patricia K."},{"family":"Pépin","given":"David"}],"issued":{"date-parts":[["2021",5,18]]}}}],"schema":"https://github.com/citation-style-language/schema/raw/master/csl-citation.json"} </w:instrText>
            </w:r>
            <w:r w:rsidRPr="00D50FDC">
              <w:rPr>
                <w:rFonts w:ascii="Arial" w:eastAsia="Times New Roman" w:hAnsi="Arial" w:cs="Arial"/>
                <w:color w:val="000000"/>
                <w:sz w:val="18"/>
                <w:szCs w:val="18"/>
              </w:rPr>
              <w:fldChar w:fldCharType="separate"/>
            </w:r>
            <w:r w:rsidR="001C71BD" w:rsidRPr="001C71BD">
              <w:rPr>
                <w:rFonts w:ascii="Arial" w:hAnsi="Arial" w:cs="Arial"/>
                <w:sz w:val="18"/>
              </w:rPr>
              <w:t>(5)</w:t>
            </w:r>
            <w:r w:rsidRPr="00D50FDC">
              <w:rPr>
                <w:rFonts w:ascii="Arial" w:eastAsia="Times New Roman" w:hAnsi="Arial" w:cs="Arial"/>
                <w:color w:val="000000"/>
                <w:sz w:val="18"/>
                <w:szCs w:val="18"/>
              </w:rPr>
              <w:fldChar w:fldCharType="end"/>
            </w:r>
          </w:p>
        </w:tc>
        <w:tc>
          <w:tcPr>
            <w:tcW w:w="540" w:type="pct"/>
            <w:shd w:val="clear" w:color="auto" w:fill="auto"/>
            <w:noWrap/>
            <w:vAlign w:val="bottom"/>
            <w:hideMark/>
          </w:tcPr>
          <w:p w14:paraId="174CE8CC" w14:textId="77777777" w:rsidR="00BF211E" w:rsidRPr="00A23139" w:rsidRDefault="00BF211E" w:rsidP="00386B4F">
            <w:pPr>
              <w:spacing w:after="0" w:line="240" w:lineRule="auto"/>
              <w:jc w:val="right"/>
              <w:rPr>
                <w:rFonts w:ascii="Arial" w:eastAsia="Times New Roman" w:hAnsi="Arial" w:cs="Arial"/>
                <w:color w:val="000000"/>
                <w:sz w:val="18"/>
                <w:szCs w:val="18"/>
              </w:rPr>
            </w:pPr>
            <w:r w:rsidRPr="00A23139">
              <w:rPr>
                <w:rFonts w:ascii="Arial" w:hAnsi="Arial" w:cs="Arial"/>
                <w:color w:val="000000"/>
                <w:sz w:val="18"/>
                <w:szCs w:val="18"/>
              </w:rPr>
              <w:t>2.05</w:t>
            </w:r>
          </w:p>
        </w:tc>
        <w:tc>
          <w:tcPr>
            <w:tcW w:w="720" w:type="pct"/>
            <w:vAlign w:val="bottom"/>
          </w:tcPr>
          <w:p w14:paraId="7C8B8C15" w14:textId="5F588F29" w:rsidR="00BF211E" w:rsidRPr="00EB5F70" w:rsidRDefault="00BF211E" w:rsidP="00386B4F">
            <w:pPr>
              <w:spacing w:after="0" w:line="240" w:lineRule="auto"/>
              <w:rPr>
                <w:rFonts w:ascii="Arial" w:eastAsia="Times New Roman" w:hAnsi="Arial" w:cs="Arial"/>
                <w:color w:val="000000"/>
                <w:sz w:val="18"/>
                <w:szCs w:val="18"/>
                <w:lang w:val="fr-FR"/>
              </w:rPr>
            </w:pPr>
            <w:proofErr w:type="spellStart"/>
            <w:r w:rsidRPr="00EB5F70">
              <w:rPr>
                <w:rFonts w:ascii="Arial" w:hAnsi="Arial" w:cs="Arial"/>
                <w:color w:val="000000"/>
                <w:sz w:val="18"/>
                <w:szCs w:val="18"/>
              </w:rPr>
              <w:t>Nppc</w:t>
            </w:r>
            <w:proofErr w:type="spellEnd"/>
            <w:r w:rsidRPr="00EB5F70">
              <w:rPr>
                <w:rFonts w:ascii="Arial" w:eastAsia="Times New Roman" w:hAnsi="Arial" w:cs="Arial"/>
                <w:color w:val="000000"/>
                <w:sz w:val="18"/>
                <w:szCs w:val="18"/>
                <w:lang w:val="fr-FR"/>
              </w:rPr>
              <w:fldChar w:fldCharType="begin"/>
            </w:r>
            <w:r w:rsidR="001C71BD">
              <w:rPr>
                <w:rFonts w:ascii="Arial" w:eastAsia="Times New Roman" w:hAnsi="Arial" w:cs="Arial"/>
                <w:color w:val="000000"/>
                <w:sz w:val="18"/>
                <w:szCs w:val="18"/>
                <w:lang w:val="fr-FR"/>
              </w:rPr>
              <w:instrText xml:space="preserve"> ADDIN ZOTERO_ITEM CSL_CITATION {"citationID":"AieIAIHb","properties":{"formattedCitation":"(6\\uc0\\u8211{}8)","plainCitation":"(6–8)","noteIndex":0},"citationItems":[{"id":228,"uris":["http://zotero.org/users/local/Cg9l0yK5/items/2FACT22I"],"itemData":{"id":228,"type":"article-journal","abstract":"Granulosa cells of mammalian Graafian follicles maintain oocytes in meiotic arrest, which prevents their precocious maturation. We show that mouse mural granulosa  cells, which line the follicle wall, express natriuretic peptide precursor type C  (Nppc) messenger RNA (mRNA), whereas cumulus cells surrounding oocytes express mRNA  of the NPPC receptor NPR2, a guanylyl cyclase. NPPC increased cGMP levels in cumulus  cells and oocytes and inhibited meiotic resumption in vitro. Meiotic arrest was not  sustained in most Graafian follicles of Nppc or Npr2 mutant mice, and meiosis  resumed precociously. Oocyte-derived paracrine factors promoted cumulus cell  expression of Npr2 mRNA. Therefore, the granulosa cell ligand NPPC and its receptor  NPR2 in cumulus cells prevent precocious meiotic maturation, which is critical for  maturation and ovulation synchrony and for normal female fertility.","container-title":"Science (New York, N.Y.)","DOI":"10.1126/science.1193573","ISSN":"1095-9203 0036-8075","issue":"6002","journalAbbreviation":"Science","language":"eng","note":"PMID: 20947764 \nPMCID: PMC3056542","page":"366-369","title":"Granulosa cell ligand NPPC and its receptor NPR2 maintain meiotic arrest in mouse oocytes.","volume":"330","author":[{"family":"Zhang","given":"Meijia"},{"family":"Su","given":"You-Qiang"},{"family":"Sugiura","given":"Koji"},{"family":"Xia","given":"Guoliang"},{"family":"Eppig","given":"John J."}],"issued":{"date-parts":[["2010",10,15]]}}},{"id":229,"uris":["http://zotero.org/users/local/Cg9l0yK5/items/QQ84DA97"],"itemData":{"id":229,"type":"article-journal","abstract":"Oocyte meiosis is arrested at prophase I by factors secreted from surrounding somatic cells after oocytes acquire meiotic competence at an early antral stage, and  meiosis resumes in preovulatory follicles as a result of the luteinizing hormone  (LH) surge. Recently, signaling by C-type natriuretic peptide (CNP) through its  receptor, natriuretic peptide receptor 2 (NPR2), was found to be essential for  meiotic arrest at the late antral stage. Whether or not CNP/NPR2 signaling maintains  oocyte meiotic arrest in earlier follicular stages and how it is associated with  meiotic resumption induced by the LH surge is unclear. In this study, we examined  the expression of Nppc and Npr2, respectively encoding CNP and NPR2, in the ovaries  of immature mice. Nppc and Npr2 mRNA were specifically expressed in the outer and  inner granulosa cell layers, respectively, in early antral follicles. Histological  analysis of mice with a mutation in Npr2 revealed precocious resumption of oocyte  meiosis in early antral follicles. Ovaries of mice treated with excess human  chorionic gonadotropin (hCG) exhibited markedly decreased Nppc mRNA levels in  granulosa cells of preovulatory follicles. Moreover, we found that amphiregulin, a  mediator of LH/hCG activity through epidermal growth factor receptor (EGFR),  suppressed Nppc mRNA levels in cultured granulosa cells. These results suggest that  CNP/NPR2 signaling is essential for oocyte meiotic arrest in early antral follicles  and that activated LH/amphiregulin/EGFR signaling pathway suppresses this signal by  downregulating Nppc expression.","container-title":"Molecular reproduction and development","DOI":"10.1002/mrd.22114","ISSN":"1098-2795 1040-452X","issue":"11","journalAbbreviation":"Mol Reprod Dev","language":"eng","license":"Copyright © 2012 Wiley Periodicals, Inc.","note":"publisher-place: United States\nPMID: 22987720","page":"795-802","title":"CNP/NPR2 signaling maintains oocyte meiotic arrest in early antral follicles and is suppressed by EGFR-mediated signaling in preovulatory follicles.","volume":"79","author":[{"family":"Tsuji","given":"Takehito"},{"family":"Kiyosu","given":"Chiyo"},{"family":"Akiyama","given":"Kouyou"},{"family":"Kunieda","given":"Tetsuo"}],"issued":{"date-parts":[["2012",11]]}}},{"id":230,"uris":["http://zotero.org/users/local/Cg9l0yK5/items/DCY8ZQ3Q"],"itemData":{"id":230,"type":"article-journal","abstract":"Compared to ovarian antral follicle development, the mechanism underlying preantral follicle growth has not been well documented. Although C-type natriuretic peptide  (CNP) involvement in preantral folliculogenesis has been explored, its detailed role  has not been fully defined. Here, we used mouse preantral follicles and granulosa  cells (GCs) as a model for investigating the dynamic expression of CNP and  natriuretic peptide receptor 2 (NPR2) during preantral folliculogenesis, the  regulatory role of oocyte-derived growth factors (ODGFs) in natriuretic peptide type  C (Nppc) and Npr2 expression, and the effect of CNP on preantral GC viability. Both  mRNA and protein levels of Nppc and Npr2 were gradually activated during preantral  folliculogenesis. CNP supplementation in culture medium significantly promoted the  growth of in vitro-cultured preantral follicles and enhanced the viability of  cultured GCs in a follicle-stimulating hormone (FSH)-independent manner. Using adult  and prepubertal mice as an in vivo model, CNP pre-treatment via intraperitoneal  injection before conventional superovulation also had a beneficial effect on  promoting the ovulation rate. Furthermore, ODGFs enhanced Nppc and Npr2 expression  in the in vitro-cultured preantral follicles and GCs. Mechanistic study demonstrated  that the regulation of WNT signaling and estrogen synthesis may be implicated in the  promoting role of CNP in preantral folliculogenesis. This study not only proves that  CNP is a critical regulator of preantral follicle growth, but also provides new  insight in understanding the crosstalk between oocytes and somatic cells during  early folliculogenesis.","container-title":"Reproduction (Cambridge, England)","DOI":"10.1530/REP-18-0470","ISSN":"1741-7899 1470-1626","issue":"5","journalAbbreviation":"Reproduction","language":"eng","note":"publisher-place: England\nPMID: 30817314","page":"445-455","title":"C-type natriuretic peptide enhances mouse preantral follicle growth.","volume":"157","author":[{"family":"Xi","given":"Guangyin"},{"family":"Wang","given":"Wenjing"},{"family":"Fazlani","given":"Sarfaraz A."},{"family":"Yao","given":"Fusheng"},{"family":"Yang","given":"Mingyao"},{"family":"Hao","given":"Jing"},{"family":"An","given":"Lei"},{"family":"Tian","given":"Jianhui"}],"issued":{"date-parts":[["2019",5]]}}}],"schema":"https://github.com/citation-style-language/schema/raw/master/csl-citation.json"} </w:instrText>
            </w:r>
            <w:r w:rsidRPr="00EB5F70">
              <w:rPr>
                <w:rFonts w:ascii="Arial" w:eastAsia="Times New Roman" w:hAnsi="Arial" w:cs="Arial"/>
                <w:color w:val="000000"/>
                <w:sz w:val="18"/>
                <w:szCs w:val="18"/>
                <w:lang w:val="fr-FR"/>
              </w:rPr>
              <w:fldChar w:fldCharType="separate"/>
            </w:r>
            <w:r w:rsidR="001C71BD" w:rsidRPr="001C71BD">
              <w:rPr>
                <w:rFonts w:ascii="Arial" w:hAnsi="Arial" w:cs="Arial"/>
                <w:sz w:val="18"/>
                <w:szCs w:val="24"/>
              </w:rPr>
              <w:t>(6–8)</w:t>
            </w:r>
            <w:r w:rsidRPr="00EB5F70">
              <w:rPr>
                <w:rFonts w:ascii="Arial" w:eastAsia="Times New Roman" w:hAnsi="Arial" w:cs="Arial"/>
                <w:color w:val="000000"/>
                <w:sz w:val="18"/>
                <w:szCs w:val="18"/>
                <w:lang w:val="fr-FR"/>
              </w:rPr>
              <w:fldChar w:fldCharType="end"/>
            </w:r>
          </w:p>
        </w:tc>
        <w:tc>
          <w:tcPr>
            <w:tcW w:w="539" w:type="pct"/>
            <w:shd w:val="clear" w:color="auto" w:fill="auto"/>
            <w:noWrap/>
            <w:vAlign w:val="bottom"/>
            <w:hideMark/>
          </w:tcPr>
          <w:p w14:paraId="108A07C1" w14:textId="77777777" w:rsidR="00BF211E" w:rsidRPr="00EB5F70" w:rsidRDefault="00BF211E" w:rsidP="00386B4F">
            <w:pPr>
              <w:spacing w:after="0" w:line="240" w:lineRule="auto"/>
              <w:jc w:val="right"/>
              <w:rPr>
                <w:rFonts w:ascii="Arial" w:eastAsia="Times New Roman" w:hAnsi="Arial" w:cs="Arial"/>
                <w:color w:val="000000"/>
                <w:sz w:val="18"/>
                <w:szCs w:val="18"/>
                <w:lang w:val="fr-FR"/>
              </w:rPr>
            </w:pPr>
            <w:r w:rsidRPr="00EB5F70">
              <w:rPr>
                <w:rFonts w:ascii="Arial" w:hAnsi="Arial" w:cs="Arial"/>
                <w:color w:val="000000"/>
                <w:sz w:val="18"/>
                <w:szCs w:val="18"/>
              </w:rPr>
              <w:t>2.01</w:t>
            </w:r>
          </w:p>
        </w:tc>
        <w:tc>
          <w:tcPr>
            <w:tcW w:w="578" w:type="pct"/>
            <w:vAlign w:val="bottom"/>
          </w:tcPr>
          <w:p w14:paraId="1A582FFD" w14:textId="4051F387" w:rsidR="00BF211E" w:rsidRPr="00A23139" w:rsidRDefault="00BF211E" w:rsidP="00386B4F">
            <w:pPr>
              <w:spacing w:after="0" w:line="240" w:lineRule="auto"/>
              <w:rPr>
                <w:rFonts w:ascii="Arial" w:eastAsia="Times New Roman" w:hAnsi="Arial" w:cs="Arial"/>
                <w:color w:val="000000"/>
                <w:sz w:val="18"/>
                <w:szCs w:val="18"/>
                <w:lang w:val="fr-FR"/>
              </w:rPr>
            </w:pPr>
            <w:r w:rsidRPr="00A23139">
              <w:rPr>
                <w:rFonts w:ascii="Arial" w:hAnsi="Arial" w:cs="Arial"/>
                <w:color w:val="000000"/>
                <w:sz w:val="18"/>
                <w:szCs w:val="18"/>
              </w:rPr>
              <w:t xml:space="preserve">Pik3ip1 </w:t>
            </w:r>
            <w:r w:rsidRPr="00A23139">
              <w:rPr>
                <w:rFonts w:ascii="Arial" w:eastAsia="Times New Roman" w:hAnsi="Arial" w:cs="Arial"/>
                <w:color w:val="000000"/>
                <w:sz w:val="18"/>
                <w:szCs w:val="18"/>
                <w:lang w:val="fr-FR"/>
              </w:rPr>
              <w:fldChar w:fldCharType="begin"/>
            </w:r>
            <w:r w:rsidR="001C71BD">
              <w:rPr>
                <w:rFonts w:ascii="Arial" w:eastAsia="Times New Roman" w:hAnsi="Arial" w:cs="Arial"/>
                <w:color w:val="000000"/>
                <w:sz w:val="18"/>
                <w:szCs w:val="18"/>
                <w:lang w:val="fr-FR"/>
              </w:rPr>
              <w:instrText xml:space="preserve"> ADDIN ZOTERO_ITEM CSL_CITATION {"citationID":"WWtFSskB","properties":{"formattedCitation":"(9)","plainCitation":"(9)","noteIndex":0},"citationItems":[{"id":69,"uris":["http://zotero.org/users/local/Cg9l0yK5/items/WFJ9GENJ"],"itemData":{"id":69,"type":"article-journal","abstract":"Communication between the oocyte and cumulus facilitates oocyte growth, cell cycle regulation, and metabolism. This communication is mediated by direct contact between  oocytes and cumulus cells, and soluble secreted molecules. Secreted molecules  involved in this process are known inflammatory mediators. Lipopolysaccharide (LPS)  is detected in follicular fluid and is associated with reduced fertility, whereas  accumulation of inflammatory mediators in follicular fluid, including tumor necrosis  factor-α (TNF-α), is associated with female infertility. Maturation of oocytes in  the presence of LPS or TNF-α reduces meiotic maturation and the capacity to develop  to the blastocyst. Here we evaluated the abundance of 92 candidate genes involved  immune function, epigenetic modifications, embryo development, oocyte secreted  factors, apoptosis, cell cycle, and cell signaling in bovine cumulus cells or  zona-free oocytes after exposure to LPS or TNF-α during in vitro maturation. We  hypothesize that LPS or TNF-α will alter the abundance of transcripts in oocytes and  cumulus cell in a cell type dependent manner. Exposure to LPS altered abundance of  31 transcripts in oocytes (including ACVR1V, BMP15, DNMT3A) and 12 transcripts in  cumulus cells (including AREG, FGF4, PIK3IP1). Exposure to TNF-α altered 1  transcript in oocytes (IGF2) and 4 transcripts in cumulus cells (GJA1, PLD2, PTGER4,  STAT1). Cumulus expansion was reduced after exposure to LPS or TNF-α. Exposing COCs  to LPS had a marked effect on expression of targeted transcripts in oocytes. We  propose that altered oocyte transcript abundance is associated with reduced meiotic  maturation and embryo development observed in oocytes cultured in LPS or TNF-α.","container-title":"Molecular reproduction and development","DOI":"10.1002/mrd.23288","ISSN":"1098-2795 1040-452X","issue":"12","journalAbbreviation":"Mol Reprod Dev","language":"eng","license":"© 2019 Wiley Periodicals, Inc.","note":"PMID: 31663199 \nPMCID: PMC6910933","page":"1909-1920","title":"Lipopolysaccharide and tumor necrosis factor-alpha alter gene expression of oocytes and cumulus cells during bovine in vitro maturation.","volume":"86","author":[{"family":"Piersanti","given":"Rachel L."},{"family":"Santos","given":"José E. P."},{"family":"Sheldon","given":"I. Martin"},{"family":"Bromfield","given":"John J."}],"issued":{"date-parts":[["2019",12]]}}}],"schema":"https://github.com/citation-style-language/schema/raw/master/csl-citation.json"} </w:instrText>
            </w:r>
            <w:r w:rsidRPr="00A23139">
              <w:rPr>
                <w:rFonts w:ascii="Arial" w:eastAsia="Times New Roman" w:hAnsi="Arial" w:cs="Arial"/>
                <w:color w:val="000000"/>
                <w:sz w:val="18"/>
                <w:szCs w:val="18"/>
                <w:lang w:val="fr-FR"/>
              </w:rPr>
              <w:fldChar w:fldCharType="separate"/>
            </w:r>
            <w:r w:rsidR="001C71BD" w:rsidRPr="001C71BD">
              <w:rPr>
                <w:rFonts w:ascii="Arial" w:hAnsi="Arial" w:cs="Arial"/>
                <w:sz w:val="18"/>
              </w:rPr>
              <w:t>(9)</w:t>
            </w:r>
            <w:r w:rsidRPr="00A23139">
              <w:rPr>
                <w:rFonts w:ascii="Arial" w:eastAsia="Times New Roman" w:hAnsi="Arial" w:cs="Arial"/>
                <w:color w:val="000000"/>
                <w:sz w:val="18"/>
                <w:szCs w:val="18"/>
                <w:lang w:val="fr-FR"/>
              </w:rPr>
              <w:fldChar w:fldCharType="end"/>
            </w:r>
          </w:p>
        </w:tc>
        <w:tc>
          <w:tcPr>
            <w:tcW w:w="539" w:type="pct"/>
            <w:shd w:val="clear" w:color="auto" w:fill="auto"/>
            <w:noWrap/>
            <w:vAlign w:val="bottom"/>
            <w:hideMark/>
          </w:tcPr>
          <w:p w14:paraId="4435AB37" w14:textId="77777777" w:rsidR="00BF211E" w:rsidRPr="00A23139" w:rsidRDefault="00BF211E" w:rsidP="00386B4F">
            <w:pPr>
              <w:spacing w:after="0" w:line="240" w:lineRule="auto"/>
              <w:jc w:val="right"/>
              <w:rPr>
                <w:rFonts w:ascii="Arial" w:eastAsia="Times New Roman" w:hAnsi="Arial" w:cs="Arial"/>
                <w:color w:val="000000"/>
                <w:sz w:val="18"/>
                <w:szCs w:val="18"/>
                <w:lang w:val="fr-FR"/>
              </w:rPr>
            </w:pPr>
            <w:r w:rsidRPr="00A23139">
              <w:rPr>
                <w:rFonts w:ascii="Arial" w:hAnsi="Arial" w:cs="Arial"/>
                <w:color w:val="000000"/>
                <w:sz w:val="18"/>
                <w:szCs w:val="18"/>
              </w:rPr>
              <w:t>1.80</w:t>
            </w:r>
          </w:p>
        </w:tc>
        <w:tc>
          <w:tcPr>
            <w:tcW w:w="741" w:type="pct"/>
            <w:vAlign w:val="bottom"/>
          </w:tcPr>
          <w:p w14:paraId="59F6408F" w14:textId="287E1A5D" w:rsidR="00BF211E" w:rsidRPr="0097360C" w:rsidRDefault="00BF211E" w:rsidP="00386B4F">
            <w:pPr>
              <w:spacing w:after="0" w:line="240" w:lineRule="auto"/>
              <w:rPr>
                <w:rFonts w:ascii="Arial" w:eastAsia="Times New Roman" w:hAnsi="Arial" w:cs="Arial"/>
                <w:color w:val="000000"/>
                <w:sz w:val="18"/>
                <w:szCs w:val="18"/>
                <w:lang w:val="fr-FR"/>
              </w:rPr>
            </w:pPr>
            <w:r>
              <w:rPr>
                <w:rFonts w:ascii="Calibri" w:hAnsi="Calibri" w:cs="Calibri"/>
                <w:color w:val="000000"/>
              </w:rPr>
              <w:t xml:space="preserve">Ube2c </w:t>
            </w:r>
            <w:r w:rsidRPr="00D50FDC">
              <w:rPr>
                <w:rFonts w:ascii="Arial" w:eastAsia="Times New Roman" w:hAnsi="Arial" w:cs="Arial"/>
                <w:color w:val="000000"/>
                <w:sz w:val="18"/>
                <w:szCs w:val="18"/>
                <w:lang w:val="fr-FR"/>
              </w:rPr>
              <w:fldChar w:fldCharType="begin"/>
            </w:r>
            <w:r w:rsidR="001C71BD">
              <w:rPr>
                <w:rFonts w:ascii="Arial" w:eastAsia="Times New Roman" w:hAnsi="Arial" w:cs="Arial"/>
                <w:color w:val="000000"/>
                <w:sz w:val="18"/>
                <w:szCs w:val="18"/>
                <w:lang w:val="fr-FR"/>
              </w:rPr>
              <w:instrText xml:space="preserve"> ADDIN ZOTERO_ITEM CSL_CITATION {"citationID":"G93uitYA","properties":{"formattedCitation":"(10)","plainCitation":"(10)","noteIndex":0},"citationItems":[{"id":285,"uris":["http://zotero.org/users/local/Cg9l0yK5/items/LX5BP8BG"],"itemData":{"id":285,"type":"article-journal","abstract":"In the dividing eukaryotic cell, the spindle assembly checkpoint (SAC) ensures that each daughter cell inherits an identical set of chromosomes. The SAC coordinates the  correct attachment of sister chromatid kinetochores to the mitotic spindle with  activation of the anaphase-promoting complex (APC/C), the E3 ubiquitin ligase  responsible for initiating chromosome separation. In response to unattached  kinetochores, the SAC generates the mitotic checkpoint complex (MCC), which inhibits  the APC/C and delays chromosome segregation. By cryo-electron microscopy, here we  determine the near-atomic resolution structure of a human APC/C–MCC complex  (APC/C(MCC)). Degron-like sequences of the MCC subunit BubR1 block degron  recognition sites on Cdc20, the APC/C coactivator subunit responsible for substrate  interactions. BubR1 also obstructs binding of the initiating E2 enzyme UbcH10 to  repress APC/C ubiquitination activity. Conformational variability of the complex  enables UbcH10 association, and structural analysis shows how the Cdc20 subunit  intrinsic to the MCC (Cdc20(MCC)) is ubiquitinated, a process that results in APC/C  reactivation when the SAC is silenced.","container-title":"Nature","DOI":"10.1038/nature19083","ISSN":"1476-4687 0028-0836","issue":"7617","journalAbbreviation":"Nature","language":"eng","note":"PMID: 27509861 \nPMCID: PMC5019344","page":"431-436","title":"Molecular basis of APC/C regulation by the spindle assembly checkpoint.","volume":"536","author":[{"family":"Alfieri","given":"Claudio"},{"family":"Chang","given":"Leifu"},{"family":"Zhang","given":"Ziguo"},{"family":"Yang","given":"Jing"},{"family":"Maslen","given":"Sarah"},{"family":"Skehel","given":"Mark"},{"family":"Barford","given":"David"}],"issued":{"date-parts":[["2016",8,25]]}}}],"schema":"https://github.com/citation-style-language/schema/raw/master/csl-citation.json"} </w:instrText>
            </w:r>
            <w:r w:rsidRPr="00D50FDC">
              <w:rPr>
                <w:rFonts w:ascii="Arial" w:eastAsia="Times New Roman" w:hAnsi="Arial" w:cs="Arial"/>
                <w:color w:val="000000"/>
                <w:sz w:val="18"/>
                <w:szCs w:val="18"/>
                <w:lang w:val="fr-FR"/>
              </w:rPr>
              <w:fldChar w:fldCharType="separate"/>
            </w:r>
            <w:r w:rsidR="001C71BD" w:rsidRPr="001C71BD">
              <w:rPr>
                <w:rFonts w:ascii="Arial" w:hAnsi="Arial" w:cs="Arial"/>
                <w:sz w:val="18"/>
              </w:rPr>
              <w:t>(10)</w:t>
            </w:r>
            <w:r w:rsidRPr="00D50FDC">
              <w:rPr>
                <w:rFonts w:ascii="Arial" w:eastAsia="Times New Roman" w:hAnsi="Arial" w:cs="Arial"/>
                <w:color w:val="000000"/>
                <w:sz w:val="18"/>
                <w:szCs w:val="18"/>
                <w:lang w:val="fr-FR"/>
              </w:rPr>
              <w:fldChar w:fldCharType="end"/>
            </w:r>
          </w:p>
        </w:tc>
        <w:tc>
          <w:tcPr>
            <w:tcW w:w="539" w:type="pct"/>
            <w:shd w:val="clear" w:color="auto" w:fill="auto"/>
            <w:noWrap/>
            <w:vAlign w:val="bottom"/>
            <w:hideMark/>
          </w:tcPr>
          <w:p w14:paraId="57179726" w14:textId="77777777" w:rsidR="00BF211E" w:rsidRPr="00EB5F70" w:rsidRDefault="00BF211E" w:rsidP="00386B4F">
            <w:pPr>
              <w:spacing w:after="0" w:line="240" w:lineRule="auto"/>
              <w:jc w:val="right"/>
              <w:rPr>
                <w:rFonts w:ascii="Arial" w:eastAsia="Times New Roman" w:hAnsi="Arial" w:cs="Arial"/>
                <w:color w:val="000000"/>
                <w:sz w:val="18"/>
                <w:szCs w:val="18"/>
                <w:lang w:val="fr-FR"/>
              </w:rPr>
            </w:pPr>
            <w:r w:rsidRPr="00EB5F70">
              <w:rPr>
                <w:rFonts w:ascii="Arial" w:hAnsi="Arial" w:cs="Arial"/>
                <w:color w:val="000000"/>
                <w:sz w:val="18"/>
                <w:szCs w:val="18"/>
              </w:rPr>
              <w:t>2.11</w:t>
            </w:r>
          </w:p>
        </w:tc>
      </w:tr>
      <w:tr w:rsidR="00BF211E" w:rsidRPr="00D50FDC" w14:paraId="553D00F2" w14:textId="77777777" w:rsidTr="00386B4F">
        <w:trPr>
          <w:trHeight w:val="290"/>
        </w:trPr>
        <w:tc>
          <w:tcPr>
            <w:tcW w:w="804" w:type="pct"/>
            <w:vAlign w:val="bottom"/>
          </w:tcPr>
          <w:p w14:paraId="26A71810" w14:textId="45A36A7E" w:rsidR="00BF211E" w:rsidRPr="00C6017F" w:rsidRDefault="00BF211E" w:rsidP="00386B4F">
            <w:pPr>
              <w:spacing w:after="0" w:line="240" w:lineRule="auto"/>
              <w:rPr>
                <w:rFonts w:ascii="Arial" w:hAnsi="Arial" w:cs="Arial"/>
                <w:color w:val="000000"/>
                <w:sz w:val="18"/>
                <w:szCs w:val="18"/>
              </w:rPr>
            </w:pPr>
            <w:r w:rsidRPr="00C6017F">
              <w:rPr>
                <w:rFonts w:ascii="Arial" w:hAnsi="Arial" w:cs="Arial"/>
                <w:color w:val="000000"/>
                <w:sz w:val="18"/>
                <w:szCs w:val="18"/>
              </w:rPr>
              <w:t>Igfbp5</w:t>
            </w:r>
            <w:r>
              <w:rPr>
                <w:rFonts w:ascii="Arial" w:hAnsi="Arial" w:cs="Arial"/>
                <w:color w:val="000000"/>
                <w:sz w:val="18"/>
                <w:szCs w:val="18"/>
              </w:rPr>
              <w:t xml:space="preserve"> </w:t>
            </w:r>
            <w:r w:rsidRPr="00D50FDC">
              <w:rPr>
                <w:rFonts w:ascii="Arial" w:eastAsia="Times New Roman" w:hAnsi="Arial" w:cs="Arial"/>
                <w:color w:val="000000"/>
                <w:sz w:val="18"/>
                <w:szCs w:val="18"/>
              </w:rPr>
              <w:fldChar w:fldCharType="begin"/>
            </w:r>
            <w:r w:rsidR="001C71BD">
              <w:rPr>
                <w:rFonts w:ascii="Arial" w:eastAsia="Times New Roman" w:hAnsi="Arial" w:cs="Arial"/>
                <w:color w:val="000000"/>
                <w:sz w:val="18"/>
                <w:szCs w:val="18"/>
                <w:lang w:val="fr-FR"/>
              </w:rPr>
              <w:instrText xml:space="preserve"> ADDIN ZOTERO_ITEM CSL_CITATION {"citationID":"5lp8H55J","properties":{"formattedCitation":"(5)","plainCitation":"(5)","noteIndex":0},"citationItems":[{"id":3,"uris":["http://zotero.org/users/local/Cg9l0yK5/items/4RLJS23F"],"itemData":{"id":3,"type":"article-journal","abstract":"Müllerian inhibiting substance (MIS/AMH), produced by granulosa cells of growing follicles, is an important regulator of folliculogenesis and follicle development.  Treatment with exogenous MIS in mice suppresses follicle development and prevents  ovulation. To investigate the mechanisms by which MIS inhibits follicle development,  we performed single-cell RNA sequencing of whole neonatal ovaries treated with MIS  at birth and analyzed at postnatal day 6, coinciding with the first wave of follicle  growth. We identified distinct transcriptional signatures associated with MIS  responses in the ovarian cell types. MIS treatment inhibited proliferation in  granulosa, surface epithelial, and stromal cell types of the ovary and elicited a  unique signature of quiescence in granulosa cells. In addition to decreasing the  number of growing preantral follicles, we found that MIS treatment uncoupled the  maturation of germ cells and granulosa cells. In conclusion, MIS suppressed neonatal  follicle development by inhibiting proliferation, imposing a quiescent cell state,  and preventing granulosa cell differentiation.","container-title":"Proceedings of the National Academy of Sciences of the United States of America","DOI":"10.1073/pnas.2100920118","ISSN":"1091-6490 0027-8424","issue":"20","journalAbbreviation":"Proc Natl Acad Sci U S A","language":"eng","license":"Copyright © 2021 the Author(s). Published by PNAS.","note":"PMID: 33980714 \nPMCID: PMC8157966","title":"Single-cell sequencing reveals suppressive transcriptional programs regulated by MIS/AMH in neonatal ovaries.","volume":"118","author":[{"family":"Meinsohn","given":"Marie-Charlotte"},{"family":"Saatcioglu","given":"Hatice D."},{"family":"Wei","given":"Lina"},{"family":"Li","given":"Yi"},{"family":"Horn","given":"Heiko"},{"family":"Chauvin","given":"Maeva"},{"family":"Kano","given":"Motohiro"},{"family":"Nguyen","given":"Ngoc Minh Phuong"},{"family":"Nagykery","given":"Nicholas"},{"family":"Kashiwagi","given":"Aki"},{"family":"Samore","given":"Wesley R."},{"family":"Wang","given":"Dan"},{"family":"Oliva","given":"Esther"},{"family":"Gao","given":"Guangping"},{"family":"Morris","given":"Mary E."},{"family":"Donahoe","given":"Patricia K."},{"family":"Pépin","given":"David"}],"issued":{"date-parts":[["2021",5,18]]}}}],"schema":"https://github.com/citation-style-language/schema/raw/master/csl-citation.json"} </w:instrText>
            </w:r>
            <w:r w:rsidRPr="00D50FDC">
              <w:rPr>
                <w:rFonts w:ascii="Arial" w:eastAsia="Times New Roman" w:hAnsi="Arial" w:cs="Arial"/>
                <w:color w:val="000000"/>
                <w:sz w:val="18"/>
                <w:szCs w:val="18"/>
              </w:rPr>
              <w:fldChar w:fldCharType="separate"/>
            </w:r>
            <w:r w:rsidR="001C71BD" w:rsidRPr="001C71BD">
              <w:rPr>
                <w:rFonts w:ascii="Arial" w:hAnsi="Arial" w:cs="Arial"/>
                <w:sz w:val="18"/>
              </w:rPr>
              <w:t>(5)</w:t>
            </w:r>
            <w:r w:rsidRPr="00D50FDC">
              <w:rPr>
                <w:rFonts w:ascii="Arial" w:eastAsia="Times New Roman" w:hAnsi="Arial" w:cs="Arial"/>
                <w:color w:val="000000"/>
                <w:sz w:val="18"/>
                <w:szCs w:val="18"/>
              </w:rPr>
              <w:fldChar w:fldCharType="end"/>
            </w:r>
          </w:p>
        </w:tc>
        <w:tc>
          <w:tcPr>
            <w:tcW w:w="540" w:type="pct"/>
            <w:shd w:val="clear" w:color="auto" w:fill="auto"/>
            <w:noWrap/>
            <w:vAlign w:val="bottom"/>
            <w:hideMark/>
          </w:tcPr>
          <w:p w14:paraId="7352EC1C" w14:textId="77777777" w:rsidR="00BF211E" w:rsidRPr="00A23139" w:rsidRDefault="00BF211E" w:rsidP="00386B4F">
            <w:pPr>
              <w:spacing w:after="0" w:line="240" w:lineRule="auto"/>
              <w:jc w:val="right"/>
              <w:rPr>
                <w:rFonts w:ascii="Arial" w:eastAsia="Times New Roman" w:hAnsi="Arial" w:cs="Arial"/>
                <w:color w:val="000000"/>
                <w:sz w:val="18"/>
                <w:szCs w:val="18"/>
              </w:rPr>
            </w:pPr>
            <w:r w:rsidRPr="00A23139">
              <w:rPr>
                <w:rFonts w:ascii="Arial" w:hAnsi="Arial" w:cs="Arial"/>
                <w:color w:val="000000"/>
                <w:sz w:val="18"/>
                <w:szCs w:val="18"/>
              </w:rPr>
              <w:t>1.87</w:t>
            </w:r>
          </w:p>
        </w:tc>
        <w:tc>
          <w:tcPr>
            <w:tcW w:w="720" w:type="pct"/>
            <w:vAlign w:val="bottom"/>
          </w:tcPr>
          <w:p w14:paraId="4F38E741" w14:textId="79A804DF" w:rsidR="00BF211E" w:rsidRPr="00EB5F70" w:rsidRDefault="00BF211E" w:rsidP="00386B4F">
            <w:pPr>
              <w:spacing w:after="0" w:line="240" w:lineRule="auto"/>
              <w:rPr>
                <w:rFonts w:ascii="Arial" w:eastAsia="Times New Roman" w:hAnsi="Arial" w:cs="Arial"/>
                <w:color w:val="000000"/>
                <w:sz w:val="18"/>
                <w:szCs w:val="18"/>
                <w:lang w:val="fr-FR"/>
              </w:rPr>
            </w:pPr>
            <w:proofErr w:type="spellStart"/>
            <w:r w:rsidRPr="00EB5F70">
              <w:rPr>
                <w:rFonts w:ascii="Arial" w:hAnsi="Arial" w:cs="Arial"/>
                <w:color w:val="000000"/>
                <w:sz w:val="18"/>
                <w:szCs w:val="18"/>
              </w:rPr>
              <w:t>Mro</w:t>
            </w:r>
            <w:proofErr w:type="spellEnd"/>
            <w:r w:rsidRPr="00EB5F70">
              <w:rPr>
                <w:rFonts w:ascii="Arial" w:hAnsi="Arial" w:cs="Arial"/>
                <w:color w:val="000000"/>
                <w:sz w:val="18"/>
                <w:szCs w:val="18"/>
              </w:rPr>
              <w:t xml:space="preserve"> </w:t>
            </w:r>
            <w:r w:rsidRPr="00EB5F70">
              <w:rPr>
                <w:rFonts w:ascii="Arial" w:eastAsia="Times New Roman" w:hAnsi="Arial" w:cs="Arial"/>
                <w:color w:val="000000"/>
                <w:sz w:val="18"/>
                <w:szCs w:val="18"/>
                <w:lang w:val="fr-FR"/>
              </w:rPr>
              <w:fldChar w:fldCharType="begin"/>
            </w:r>
            <w:r w:rsidR="001C71BD">
              <w:rPr>
                <w:rFonts w:ascii="Arial" w:eastAsia="Times New Roman" w:hAnsi="Arial" w:cs="Arial"/>
                <w:color w:val="000000"/>
                <w:sz w:val="18"/>
                <w:szCs w:val="18"/>
                <w:lang w:val="fr-FR"/>
              </w:rPr>
              <w:instrText xml:space="preserve"> ADDIN ZOTERO_ITEM CSL_CITATION {"citationID":"ugLHM1IQ","properties":{"formattedCitation":"(11,12)","plainCitation":"(11,12)","noteIndex":0},"citationItems":[{"id":81,"uris":["http://zotero.org/users/local/Cg9l0yK5/items/L7C2IXJI"],"itemData":{"id":81,"type":"article-journal","abstract":"BACKGROUND: Ovulation and luteinization of follicles are complex biological processes initiated by the preovulatory luteinizing hormone surge. The objective of  this study was to identify genes that are differentially expressed in bovine  granulosa cells (GC) of ovulatory follicles. METHODS: Granulosa cells were collected  during the first follicular wave of the bovine estrous cycle from dominant follicles  (DF) and from ovulatory follicles (OF) obtained 24 h following injection of human  chorionic gonadotropin (hCG). A granulosa cell subtracted cDNA library (OF-DF) was  generated using suppression subtractive hybridization and screened. RESULTS:  Detection of genes known to be upregulated in bovine GC during ovulation, such as  ADAMTS1, CAV1, EGR1, MMP1, PLAT, PLA2G4A, PTGES, PTGS2, RGS2, TIMP1, TNFAIP6 and  VNN2 validated the physiological model and analytical techniques used. For a subset  of genes that were identified for the first time, gene expression profiles were  further compared by semiquantitative RT-PCR in follicles obtained at different  developmental stages. Results confirmed an induction or upregulation of the  respective mRNAs in GC of OF 24 h after hCG-injection compared with those of DF for  the following genes: ADAMTS9, ARAF, CAPN2, CRISPLD2, FKBP5, GFPT2, KIT, KITLG,  L3MBLT3, MRO, NUDT10, NUDT11, P4HA3, POSTN, PSAP, RBP1, SAT1, SDC4, TIMP2, TNC and  USP53. In bovine GC, CRISPLD2 and POSTN mRNA were found as full-length transcript  whereas L3MBLT3 mRNA was alternatively spliced resulting in a truncated protein  missing the carboxy-terminal end amino acids, (774)KNSHNEL(780). Conversely, L3MBLT3  is expressed as a full-length mRNA in a bovine endometrial cell line. The  (774)KNSHNEL(780) sequence is well conserved in all mammalian species and follows a  SAM domain known to confer protein/protein interactions, which suggest a key  function for these amino acids in the epigenetic control of gene expression.  CONCLUSIONS: We conclude that we have identified novel genes that are upregulated by  hCG in bovine GC of OF, thereby providing novel insight into peri-ovulatory  regulation of genes that contribute to ovulation and/or luteinization processes.","container-title":"Reproductive biology and endocrinology : RB&amp;E","DOI":"10.1186/s12958-017-0306-x","ISSN":"1477-7827","issue":"1","journalAbbreviation":"Reprod Biol Endocrinol","language":"eng","note":"PMID: 29100496 \nPMCID: PMC5670713","page":"88","title":"Gene expression profiling of upregulated mRNAs in granulosa cells of bovine ovulatory follicles following stimulation with hCG.","volume":"15","author":[{"family":"Lussier","given":"Jacques G."},{"family":"Diouf","given":"Mame N."},{"family":"Lévesque","given":"Valérie"},{"family":"Sirois","given":"Jean"},{"family":"Ndiaye","given":"Kalidou"}],"issued":{"date-parts":[["2017",11,3]]}}},{"id":227,"uris":["http://zotero.org/users/local/Cg9l0yK5/items/HI6M6YAE"],"itemData":{"id":227,"type":"article-journal","abstract":"BACKGROUND: Estradiol (E2) receptors mediate E2 effects on cell proliferation and apoptosis under normal and pathological conditions. However, the mechanisms involved  in E2 signaling are not completely understood. The objectives in this study were to  evaluate the expression of estrogen receptors (ESRs) during follicular selection in  cattle, and the effect of intrafollicular injection of fulvestrant (an antagonist of  ESRs) on follicular development and transcript abundance in granulosa cells.  METHODS: Granulosa cells were obtained from the two largest follicles around  follicular deviation, after FSH treatment and after intrafollicular injection of  fulvestrant. Ovarian follicular dynamics monitored by ultrasonography and  quantitative real time PCR were used to validate the in vivo model and investigate  the effects of FSH supplementation or ESR blockade on mRNA expression of  estradiol-related genes. RESULTS: ESR1 and ESR2 were expressed in granulosa cells of  both dominant (F1) and subordinate (F2) follicles, but their transcripts levels were  higher in F1 than F2 after follicular deviation. FSH treatment maintained mRNA  levels of both ESR1 and ESR2 in F2 follicles at similar levels observed in F1  follicles. Intrafollicular injection of 100 μM fulvestrant inhibited follicular  growth and decreased CYP19A1 mRNA levels. Transcript levels for both ESR1 and ESR2  were not affected by fulvestrant injection. Analyses of FSH-regulated genes revealed  that ESRs inhibition in the dominant follicle decreased the transcript levels of the  GJA1 but not those of PRKAR2B, MRO or LRP11 genes. CONCLUSIONS: Our findings  indicate that: both ESR1 and ESR2 are regulated during follicular deviation and  dominance in cattle and in response to FSH treatment, and ESRs are required for  normal gene expression and development of the dominant follicle. Furthermore, we  have validated an in vivo model to study estrogen signaling during follicular  development that allows paracrine signaling between different follicular cells in a  physiological endocrine environment.","container-title":"Journal of ovarian research","DOI":"10.1186/s13048-014-0096-0","ISSN":"1757-2215","journalAbbreviation":"J Ovarian Res","language":"eng","note":"PMID: 25339519 \nPMCID: PMC4210628","page":"96","title":"Expression and molecular consequences of inhibition of estrogen receptors in granulosa cells of bovine follicles.","volume":"7","author":[{"family":"Rovani","given":"Monique Tomazele"},{"family":"Gasperin","given":"Bernardo Garziera"},{"family":"Ilha","given":"Gustavo Freitas"},{"family":"Ferreira","given":"Rogério"},{"family":"Bohrer","given":"Rodrigo Camponogara"},{"family":"Duggavathi","given":"Raj"},{"family":"Bordignon","given":"Vilceu"},{"family":"Gonçalves","given":"Paulo Bayard Dias"}],"issued":{"date-parts":[["2014",10,23]]}}}],"schema":"https://github.com/citation-style-language/schema/raw/master/csl-citation.json"} </w:instrText>
            </w:r>
            <w:r w:rsidRPr="00EB5F70">
              <w:rPr>
                <w:rFonts w:ascii="Arial" w:eastAsia="Times New Roman" w:hAnsi="Arial" w:cs="Arial"/>
                <w:color w:val="000000"/>
                <w:sz w:val="18"/>
                <w:szCs w:val="18"/>
                <w:lang w:val="fr-FR"/>
              </w:rPr>
              <w:fldChar w:fldCharType="separate"/>
            </w:r>
            <w:r w:rsidR="001C71BD" w:rsidRPr="001C71BD">
              <w:rPr>
                <w:rFonts w:ascii="Arial" w:hAnsi="Arial" w:cs="Arial"/>
                <w:sz w:val="18"/>
              </w:rPr>
              <w:t>(11,12)</w:t>
            </w:r>
            <w:r w:rsidRPr="00EB5F70">
              <w:rPr>
                <w:rFonts w:ascii="Arial" w:eastAsia="Times New Roman" w:hAnsi="Arial" w:cs="Arial"/>
                <w:color w:val="000000"/>
                <w:sz w:val="18"/>
                <w:szCs w:val="18"/>
                <w:lang w:val="fr-FR"/>
              </w:rPr>
              <w:fldChar w:fldCharType="end"/>
            </w:r>
          </w:p>
        </w:tc>
        <w:tc>
          <w:tcPr>
            <w:tcW w:w="539" w:type="pct"/>
            <w:shd w:val="clear" w:color="auto" w:fill="auto"/>
            <w:noWrap/>
            <w:vAlign w:val="bottom"/>
            <w:hideMark/>
          </w:tcPr>
          <w:p w14:paraId="550C96D5" w14:textId="77777777" w:rsidR="00BF211E" w:rsidRPr="00EB5F70" w:rsidRDefault="00BF211E" w:rsidP="00386B4F">
            <w:pPr>
              <w:spacing w:after="0" w:line="240" w:lineRule="auto"/>
              <w:jc w:val="right"/>
              <w:rPr>
                <w:rFonts w:ascii="Arial" w:eastAsia="Times New Roman" w:hAnsi="Arial" w:cs="Arial"/>
                <w:color w:val="000000"/>
                <w:sz w:val="18"/>
                <w:szCs w:val="18"/>
                <w:lang w:val="fr-FR"/>
              </w:rPr>
            </w:pPr>
            <w:r w:rsidRPr="00EB5F70">
              <w:rPr>
                <w:rFonts w:ascii="Arial" w:hAnsi="Arial" w:cs="Arial"/>
                <w:color w:val="000000"/>
                <w:sz w:val="18"/>
                <w:szCs w:val="18"/>
              </w:rPr>
              <w:t>2.00</w:t>
            </w:r>
          </w:p>
        </w:tc>
        <w:tc>
          <w:tcPr>
            <w:tcW w:w="578" w:type="pct"/>
            <w:vAlign w:val="bottom"/>
          </w:tcPr>
          <w:p w14:paraId="5F034AA2" w14:textId="3DE580BB" w:rsidR="00BF211E" w:rsidRPr="00A23139" w:rsidRDefault="00BF211E" w:rsidP="00386B4F">
            <w:pPr>
              <w:spacing w:after="0" w:line="240" w:lineRule="auto"/>
              <w:rPr>
                <w:rFonts w:ascii="Arial" w:eastAsia="Times New Roman" w:hAnsi="Arial" w:cs="Arial"/>
                <w:color w:val="000000"/>
                <w:sz w:val="18"/>
                <w:szCs w:val="18"/>
                <w:lang w:val="fr-FR"/>
              </w:rPr>
            </w:pPr>
            <w:r w:rsidRPr="00A23139">
              <w:rPr>
                <w:rFonts w:ascii="Arial" w:hAnsi="Arial" w:cs="Arial"/>
                <w:color w:val="000000"/>
                <w:sz w:val="18"/>
                <w:szCs w:val="18"/>
              </w:rPr>
              <w:t xml:space="preserve">Cald1 </w:t>
            </w:r>
            <w:r w:rsidRPr="00A23139">
              <w:rPr>
                <w:rFonts w:ascii="Arial" w:eastAsia="Times New Roman" w:hAnsi="Arial" w:cs="Arial"/>
                <w:color w:val="000000"/>
                <w:sz w:val="18"/>
                <w:szCs w:val="18"/>
                <w:lang w:val="fr-FR"/>
              </w:rPr>
              <w:fldChar w:fldCharType="begin"/>
            </w:r>
            <w:r w:rsidR="001C71BD">
              <w:rPr>
                <w:rFonts w:ascii="Arial" w:eastAsia="Times New Roman" w:hAnsi="Arial" w:cs="Arial"/>
                <w:color w:val="000000"/>
                <w:sz w:val="18"/>
                <w:szCs w:val="18"/>
                <w:lang w:val="fr-FR"/>
              </w:rPr>
              <w:instrText xml:space="preserve"> ADDIN ZOTERO_ITEM CSL_CITATION {"citationID":"ydQO7G33","properties":{"formattedCitation":"(13)","plainCitation":"(13)","noteIndex":0},"citationItems":[{"id":95,"uris":["http://zotero.org/users/local/Cg9l0yK5/items/C47RTVGE"],"itemData":{"id":95,"type":"article-journal","abstract":"The theca interna is a specialized stromal layer that envelops each growing ovarian follicle. It contains capillaries, fibroblasts, immune cells and the steroidogenic  cells that synthesize androgens for conversion to estradiol by the neighboring  granulosa cells. During reproductive life only a small number of follicles will grow  to a sufficient size to ovulate, whereas the majority of follicles will undergo  regression/atresia and phagocytosis by macrophages. To identify genes which are  differentially regulated in the theca interna during follicular atresia, we  undertook transcriptome profiling of the theca interna from healthy (n = 10) and  antral atretic (n = 5) bovine follicles at early antral stages (&lt;5 mm). Principal  Component Analyses and hierarchical classification of the signal intensity plots for  the arrays showed primary clustering into two groups, healthy and atretic. A total  of 543 probe sets were differentially expressed between the atretic and healthy  theca interna. Further analyses of these genes by Ingenuity Pathway Analysis and  Gene Ontology Enrichment Analysis Toolkit software found most of the genes being  expressed were related to cytokines, hormones and receptors as well as the cell  cycle and DNA replication. Cell cycle genes which encode components of the  replicating chromosome complex and mitotic spindle were down-regulated in atretic  theca interna, whereas stress response and inflammation-related genes such as TP53,  IKBKB and TGFB1 were up-regulated. In addition to cell cycle regulators, upstream  regulators that were predicted to be inhibited included Retinoblastoma 1, E2  transcription factor 1, and hepatocyte growth factor. Our study suggests that during  antral atresia of small follicles in the theca interna, arrest of cell cycle and DNA  replication occurs rather than up- regulation of apoptosis-associated genes as  occurs in granulosa cells.","container-title":"PloS one","DOI":"10.1371/journal.pone.0099706","ISSN":"1932-6203","issue":"6","journalAbbreviation":"PLoS One","language":"eng","note":"PMID: 24956388 \nPMCID: PMC4067288","page":"e99706","title":"Transcriptome profiling of the theca interna from bovine ovarian follicles during atresia.","volume":"9","author":[{"family":"Hatzirodos","given":"Nicholas"},{"family":"Irving-Rodgers","given":"Helen F."},{"family":"Hummitzsch","given":"Katja"},{"family":"Rodgers","given":"Raymond J."}],"issued":{"date-parts":[["2014"]]}}}],"schema":"https://github.com/citation-style-language/schema/raw/master/csl-citation.json"} </w:instrText>
            </w:r>
            <w:r w:rsidRPr="00A23139">
              <w:rPr>
                <w:rFonts w:ascii="Arial" w:eastAsia="Times New Roman" w:hAnsi="Arial" w:cs="Arial"/>
                <w:color w:val="000000"/>
                <w:sz w:val="18"/>
                <w:szCs w:val="18"/>
                <w:lang w:val="fr-FR"/>
              </w:rPr>
              <w:fldChar w:fldCharType="separate"/>
            </w:r>
            <w:r w:rsidR="001C71BD" w:rsidRPr="001C71BD">
              <w:rPr>
                <w:rFonts w:ascii="Arial" w:hAnsi="Arial" w:cs="Arial"/>
                <w:sz w:val="18"/>
              </w:rPr>
              <w:t>(13)</w:t>
            </w:r>
            <w:r w:rsidRPr="00A23139">
              <w:rPr>
                <w:rFonts w:ascii="Arial" w:eastAsia="Times New Roman" w:hAnsi="Arial" w:cs="Arial"/>
                <w:color w:val="000000"/>
                <w:sz w:val="18"/>
                <w:szCs w:val="18"/>
                <w:lang w:val="fr-FR"/>
              </w:rPr>
              <w:fldChar w:fldCharType="end"/>
            </w:r>
          </w:p>
        </w:tc>
        <w:tc>
          <w:tcPr>
            <w:tcW w:w="539" w:type="pct"/>
            <w:shd w:val="clear" w:color="auto" w:fill="auto"/>
            <w:noWrap/>
            <w:vAlign w:val="bottom"/>
            <w:hideMark/>
          </w:tcPr>
          <w:p w14:paraId="1C532037" w14:textId="77777777" w:rsidR="00BF211E" w:rsidRPr="00A23139" w:rsidRDefault="00BF211E" w:rsidP="00386B4F">
            <w:pPr>
              <w:spacing w:after="0" w:line="240" w:lineRule="auto"/>
              <w:jc w:val="right"/>
              <w:rPr>
                <w:rFonts w:ascii="Arial" w:eastAsia="Times New Roman" w:hAnsi="Arial" w:cs="Arial"/>
                <w:color w:val="000000"/>
                <w:sz w:val="18"/>
                <w:szCs w:val="18"/>
                <w:lang w:val="fr-FR"/>
              </w:rPr>
            </w:pPr>
            <w:r w:rsidRPr="00A23139">
              <w:rPr>
                <w:rFonts w:ascii="Arial" w:hAnsi="Arial" w:cs="Arial"/>
                <w:color w:val="000000"/>
                <w:sz w:val="18"/>
                <w:szCs w:val="18"/>
              </w:rPr>
              <w:t>1.78</w:t>
            </w:r>
          </w:p>
        </w:tc>
        <w:tc>
          <w:tcPr>
            <w:tcW w:w="741" w:type="pct"/>
            <w:vAlign w:val="bottom"/>
          </w:tcPr>
          <w:p w14:paraId="3C079F05" w14:textId="5D722F66" w:rsidR="00BF211E" w:rsidRPr="0097360C" w:rsidRDefault="00BF211E" w:rsidP="00386B4F">
            <w:pPr>
              <w:spacing w:after="0" w:line="240" w:lineRule="auto"/>
              <w:rPr>
                <w:rFonts w:ascii="Arial" w:eastAsia="Times New Roman" w:hAnsi="Arial" w:cs="Arial"/>
                <w:color w:val="000000"/>
                <w:sz w:val="18"/>
                <w:szCs w:val="18"/>
              </w:rPr>
            </w:pPr>
            <w:r>
              <w:rPr>
                <w:rFonts w:ascii="Calibri" w:hAnsi="Calibri" w:cs="Calibri"/>
                <w:color w:val="000000"/>
              </w:rPr>
              <w:t xml:space="preserve">Racgap1 </w:t>
            </w:r>
            <w:r w:rsidRPr="0097360C">
              <w:rPr>
                <w:rFonts w:ascii="Arial" w:eastAsia="Times New Roman" w:hAnsi="Arial" w:cs="Arial"/>
                <w:color w:val="000000"/>
                <w:sz w:val="18"/>
                <w:szCs w:val="18"/>
                <w:lang w:val="fr-FR"/>
              </w:rPr>
              <w:t xml:space="preserve"> </w:t>
            </w:r>
            <w:r w:rsidRPr="00D50FDC">
              <w:rPr>
                <w:rFonts w:ascii="Arial" w:eastAsia="Times New Roman" w:hAnsi="Arial" w:cs="Arial"/>
                <w:color w:val="000000"/>
                <w:sz w:val="18"/>
                <w:szCs w:val="18"/>
                <w:lang w:val="fr-FR"/>
              </w:rPr>
              <w:fldChar w:fldCharType="begin"/>
            </w:r>
            <w:r w:rsidR="001C71BD">
              <w:rPr>
                <w:rFonts w:ascii="Arial" w:eastAsia="Times New Roman" w:hAnsi="Arial" w:cs="Arial"/>
                <w:color w:val="000000"/>
                <w:sz w:val="18"/>
                <w:szCs w:val="18"/>
                <w:lang w:val="fr-FR"/>
              </w:rPr>
              <w:instrText xml:space="preserve"> ADDIN ZOTERO_ITEM CSL_CITATION {"citationID":"qN95KLoa","properties":{"formattedCitation":"(14,15)","plainCitation":"(14,15)","noteIndex":0},"citationItems":[{"id":148,"uris":["http://zotero.org/users/local/Cg9l0yK5/items/PPALH7ZC"],"itemData":{"id":148,"type":"article-journal","abstract":"OBJECTIVE: Superstimulatory treatment of one-month-old lambs can achieve synchronous development of numerous growing follicles. However, these growing follicles cannot  complete maturation and ovulation. Oocyte maturation and competence are acquired  during follicular development, in which granulosa cells play an essential role.  METHODS: In this study, we applied RNA sequencing to analyze and compare gene  expression between prepubertal and adult superstimulated follicle granulosa cells in  sheep. RESULTS: There were more than 300 genes that significantly differed in  expression. Among these differently expressed genes, many extracellular matrix genes  (EGF containing Fibulin Like Extracellular Matrix Protein 1, pentraxin 3,  adrenomedullin, and osteopontin) were significantly down-regulated in the  superstimulated follicles. Ingenuity pathway and gene ontology analyses revealed  that processes of axonal guidance, cell proliferation and DNA replication were  expressed at higher levels in the prepubertal follicles. Epidermal growth factor,  T-Box protein 2 and beta-estradiol upstream regulator were predicted to be active in  prepubertal follicles. By comparison, tumor protein P53 and let-7 were most active  in adult follicles. CONCLUSION: These results may contribute to a better  understanding of the mechanisms governing the development of granulosa cells in the  growing follicle in prepubertal sheep.","container-title":"Asian-Australasian journal of animal sciences","DOI":"10.5713/ajas.15.0999","ISSN":"1011-2367 1976-5517","issue":"1","journalAbbreviation":"Asian-Australas J Anim Sci","language":"eng","note":"PMID: 27189640 \nPMCID: PMC5205588","page":"20-33","title":"Transcriptome profile of one-month-old lambs' granulosa cells after superstimulation.","volume":"30","author":[{"family":"Wu","given":"Yangsheng"},{"family":"Lin","given":"Jiapeng"},{"family":"Li","given":"Xiaolin"},{"family":"Han","given":"Bing"},{"family":"Wang","given":"Liqin"},{"family":"Liu","given":"Mingjun"},{"family":"Huang","given":"Juncheng"}],"issued":{"date-parts":[["2017",1]]}}},{"id":287,"uris":["http://zotero.org/users/local/Cg9l0yK5/items/C5ZECZSW"],"itemData":{"id":287,"type":"article-journal","abstract":"BACKGROUND &amp; AIMS: Agents designed to block or alter cytokinesis can kill or stop proliferation of cancer cells. We aimed to identify cytokinesis-related proteins  that are overexpressed in hepatocellular carcinoma (HCC) cells and might be targeted  to slow liver tumor growth. METHODS: Using the Oncomine database, we compared the  gene expression patterns in 16 cancer microarray datasets and assessed gene  enrichment sets using gene ontology. We performed immunohistochemical analysis of an  HCC tissue microarray and identified changes in protein levels that are associated  with patient survival times. Candidate genes were overexpressed or knocked down with  small hairpin RNAs in SMMC7721, MHCC97H, or HCCLM3 cell lines; we analyzed their  proliferation, viability, and clone-formation ability and their growth as  subcutaneous or orthotopic xenograft tumors in mice. We performed microarray  analyses to identify alterations in signaling pathways and immunoblot and  immunofluorescence assays to detect and localize proteins in tissues. Yeast 2-hybrid  screens and mass spectrometry combined with co-immunoprecipitation experiments were  used to identify binding proteins. Protein interactions were validated with  co-immunoprecipitation and proximity ligation assays. Chromatin immunoprecipitation,  promoter luciferase activity, and quantitative real-time polymerase chain reaction  analyses were used to identify factors that regulate transcription of specific  genes. RESULTS: The genes that were most frequently overexpressed in different types  of cancer cells were involved in cell division processes. We identified 3  cytokinesis-regulatory proteins among the 10 genes most frequently overexpressed by  all cancer cell types. Rac GTPase activating protein 1 (RACGAP1) was the  cytokinesis-regulatory protein that was most highly overexpressed in multiple  cancers. Increased expression of RACGAP1 in tumor tissues was associated with  shorter survival times of patients with cancer. Knockdown of RACGAP1 in HCC cells  induced cytokinesis failure and cell apoptosis. In microarray analyses, we found  knockdown of RACGAP1 in SMMC7721 cells to reduce expression of genes regulated by  yes-associated protein (YAP) and WW domain containing transcription regulator 1  (WWTR1 or TAZ). RACGAP1 reduced activation of the Hippo pathway in HCC cells by  increasing activity of RhoA and polymerization of filamentous actin. Knockdown of  YAP reduced phosphorylation of RACGAP1 and redistribution at the anaphase central  spindle. We found transcription of the translocated promoter region, nuclear basket  protein (TPR) to be regulated by YAP and coordinately expressed with RACGAP1 to  promote proliferation of HCC cells. TPR redistributed upon nuclear envelope  breakdown and formed complexes with RACGAP1 during mitosis. Knockdown of TPR in HCC  cells reduced phosphorylation of RACGAP1 by aurora kinase B and impaired their  redistribution at the central spindle during cytokinesis. STAT3 activated  transcription of RACGAP in HCC cells. CONCLUSIONS: In an analysis of gene expression  patterns of multiple tumor types, we found RACGAP1 to be frequently overexpressed,  which is associated with shorter survival times of patients. RACGAP1 promotes  proliferation of HCC cells by reducing activation of the Hippo and YAP pathways and  promoting cytokinesis in coordination with TPR.","container-title":"Gastroenterology","DOI":"10.1053/j.gastro.2018.07.010","ISSN":"1528-0012 0016-5085","issue":"4","journalAbbreviation":"Gastroenterology","language":"eng","license":"Copyright © 2018 AGA Institute. Published by Elsevier Inc. All rights reserved.","note":"publisher-place: United States\nPMID: 30009820","page":"1233-1249.e22","title":"Overexpression of Rac GTPase Activating Protein 1 Contributes to Proliferation of Cancer Cells by Reducing Hippo Signaling to Promote Cytokinesis.","volume":"155","author":[{"family":"Yang","given":"Xiao-Mei"},{"family":"Cao","given":"Xiao-Yan"},{"family":"He","given":"Ping"},{"family":"Li","given":"Jun"},{"family":"Feng","given":"Ming-Xuan"},{"family":"Zhang","given":"Yan-Li"},{"family":"Zhang","given":"Xue-Li"},{"family":"Wang","given":"Ya-Hui"},{"family":"Yang","given":"Qin"},{"family":"Zhu","given":"Lei"},{"family":"Nie","given":"Hui-Zhen"},{"family":"Jiang","given":"Shu-Heng"},{"family":"Tian","given":"Guang-Ang"},{"family":"Zhang","given":"Xiao-Xin"},{"family":"Liu","given":"Qiang"},{"family":"Ji","given":"Jianguang"},{"family":"Zhu","given":"Xuefeng"},{"family":"Xia","given":"Qiang"},{"family":"Zhang","given":"Zhi-Gang"}],"issued":{"date-parts":[["2018",10]]}}}],"schema":"https://github.com/citation-style-language/schema/raw/master/csl-citation.json"} </w:instrText>
            </w:r>
            <w:r w:rsidRPr="00D50FDC">
              <w:rPr>
                <w:rFonts w:ascii="Arial" w:eastAsia="Times New Roman" w:hAnsi="Arial" w:cs="Arial"/>
                <w:color w:val="000000"/>
                <w:sz w:val="18"/>
                <w:szCs w:val="18"/>
                <w:lang w:val="fr-FR"/>
              </w:rPr>
              <w:fldChar w:fldCharType="separate"/>
            </w:r>
            <w:r w:rsidR="001C71BD" w:rsidRPr="001C71BD">
              <w:rPr>
                <w:rFonts w:ascii="Arial" w:hAnsi="Arial" w:cs="Arial"/>
                <w:sz w:val="18"/>
              </w:rPr>
              <w:t>(14,15)</w:t>
            </w:r>
            <w:r w:rsidRPr="00D50FDC">
              <w:rPr>
                <w:rFonts w:ascii="Arial" w:eastAsia="Times New Roman" w:hAnsi="Arial" w:cs="Arial"/>
                <w:color w:val="000000"/>
                <w:sz w:val="18"/>
                <w:szCs w:val="18"/>
                <w:lang w:val="fr-FR"/>
              </w:rPr>
              <w:fldChar w:fldCharType="end"/>
            </w:r>
          </w:p>
        </w:tc>
        <w:tc>
          <w:tcPr>
            <w:tcW w:w="539" w:type="pct"/>
            <w:shd w:val="clear" w:color="auto" w:fill="auto"/>
            <w:noWrap/>
            <w:vAlign w:val="bottom"/>
            <w:hideMark/>
          </w:tcPr>
          <w:p w14:paraId="0B6C4FC5" w14:textId="77777777" w:rsidR="00BF211E" w:rsidRPr="00EB5F70" w:rsidRDefault="00BF211E" w:rsidP="00386B4F">
            <w:pPr>
              <w:spacing w:after="0" w:line="240" w:lineRule="auto"/>
              <w:jc w:val="right"/>
              <w:rPr>
                <w:rFonts w:ascii="Arial" w:eastAsia="Times New Roman" w:hAnsi="Arial" w:cs="Arial"/>
                <w:color w:val="000000"/>
                <w:sz w:val="18"/>
                <w:szCs w:val="18"/>
                <w:lang w:val="fr-FR"/>
              </w:rPr>
            </w:pPr>
            <w:r w:rsidRPr="00EB5F70">
              <w:rPr>
                <w:rFonts w:ascii="Arial" w:hAnsi="Arial" w:cs="Arial"/>
                <w:color w:val="000000"/>
                <w:sz w:val="18"/>
                <w:szCs w:val="18"/>
              </w:rPr>
              <w:t>1.97</w:t>
            </w:r>
          </w:p>
        </w:tc>
      </w:tr>
      <w:tr w:rsidR="00BF211E" w:rsidRPr="00D50FDC" w14:paraId="6BB9F31E" w14:textId="77777777" w:rsidTr="00386B4F">
        <w:trPr>
          <w:trHeight w:val="290"/>
        </w:trPr>
        <w:tc>
          <w:tcPr>
            <w:tcW w:w="804" w:type="pct"/>
            <w:vAlign w:val="bottom"/>
          </w:tcPr>
          <w:p w14:paraId="205A2F97" w14:textId="77777777" w:rsidR="00BF211E" w:rsidRPr="00C6017F" w:rsidRDefault="00BF211E" w:rsidP="00386B4F">
            <w:pPr>
              <w:spacing w:after="0" w:line="240" w:lineRule="auto"/>
              <w:rPr>
                <w:rFonts w:ascii="Arial" w:hAnsi="Arial" w:cs="Arial"/>
                <w:color w:val="000000"/>
                <w:sz w:val="18"/>
                <w:szCs w:val="18"/>
              </w:rPr>
            </w:pPr>
            <w:r w:rsidRPr="00C6017F">
              <w:rPr>
                <w:rFonts w:ascii="Arial" w:hAnsi="Arial" w:cs="Arial"/>
                <w:color w:val="000000"/>
                <w:sz w:val="18"/>
                <w:szCs w:val="18"/>
              </w:rPr>
              <w:t>Col18a1</w:t>
            </w:r>
          </w:p>
        </w:tc>
        <w:tc>
          <w:tcPr>
            <w:tcW w:w="540" w:type="pct"/>
            <w:shd w:val="clear" w:color="auto" w:fill="auto"/>
            <w:noWrap/>
            <w:vAlign w:val="bottom"/>
            <w:hideMark/>
          </w:tcPr>
          <w:p w14:paraId="3EE06802" w14:textId="77777777" w:rsidR="00BF211E" w:rsidRPr="00A23139" w:rsidRDefault="00BF211E" w:rsidP="00386B4F">
            <w:pPr>
              <w:spacing w:after="0" w:line="240" w:lineRule="auto"/>
              <w:jc w:val="right"/>
              <w:rPr>
                <w:rFonts w:ascii="Arial" w:eastAsia="Times New Roman" w:hAnsi="Arial" w:cs="Arial"/>
                <w:color w:val="000000"/>
                <w:sz w:val="18"/>
                <w:szCs w:val="18"/>
              </w:rPr>
            </w:pPr>
            <w:r w:rsidRPr="00A23139">
              <w:rPr>
                <w:rFonts w:ascii="Arial" w:hAnsi="Arial" w:cs="Arial"/>
                <w:color w:val="000000"/>
                <w:sz w:val="18"/>
                <w:szCs w:val="18"/>
              </w:rPr>
              <w:t>1.86</w:t>
            </w:r>
          </w:p>
        </w:tc>
        <w:tc>
          <w:tcPr>
            <w:tcW w:w="720" w:type="pct"/>
            <w:vAlign w:val="bottom"/>
          </w:tcPr>
          <w:p w14:paraId="4202D863" w14:textId="3FEBC100" w:rsidR="00BF211E" w:rsidRPr="00EB5F70" w:rsidRDefault="00BF211E" w:rsidP="00386B4F">
            <w:pPr>
              <w:spacing w:after="0" w:line="240" w:lineRule="auto"/>
              <w:rPr>
                <w:rFonts w:ascii="Arial" w:eastAsia="Times New Roman" w:hAnsi="Arial" w:cs="Arial"/>
                <w:color w:val="000000"/>
                <w:sz w:val="18"/>
                <w:szCs w:val="18"/>
                <w:lang w:val="fr-FR"/>
              </w:rPr>
            </w:pPr>
            <w:r w:rsidRPr="00EB5F70">
              <w:rPr>
                <w:rFonts w:ascii="Arial" w:hAnsi="Arial" w:cs="Arial"/>
                <w:color w:val="000000"/>
                <w:sz w:val="18"/>
                <w:szCs w:val="18"/>
              </w:rPr>
              <w:t xml:space="preserve">Nap1l5 </w:t>
            </w:r>
            <w:r w:rsidRPr="00EB5F70">
              <w:rPr>
                <w:rFonts w:ascii="Arial" w:eastAsia="Times New Roman" w:hAnsi="Arial" w:cs="Arial"/>
                <w:color w:val="000000"/>
                <w:sz w:val="18"/>
                <w:szCs w:val="18"/>
              </w:rPr>
              <w:fldChar w:fldCharType="begin"/>
            </w:r>
            <w:r w:rsidR="001C71BD">
              <w:rPr>
                <w:rFonts w:ascii="Arial" w:eastAsia="Times New Roman" w:hAnsi="Arial" w:cs="Arial"/>
                <w:color w:val="000000"/>
                <w:sz w:val="18"/>
                <w:szCs w:val="18"/>
                <w:lang w:val="fr-FR"/>
              </w:rPr>
              <w:instrText xml:space="preserve"> ADDIN ZOTERO_ITEM CSL_CITATION {"citationID":"vW7dVTCj","properties":{"formattedCitation":"(16)","plainCitation":"(16)","noteIndex":0},"citationItems":[{"id":147,"uris":["http://zotero.org/users/local/Cg9l0yK5/items/TU2G69Q8"],"itemData":{"id":147,"type":"article-journal","container-title":"Reproduction","DOI":"10.1530/REP-18-0186","issue":"3","journalAbbreviation":"Reproduction","language":"English","note":"publisher-place: Bristol, UK\npublisher: Bioscientifica Ltd","page":"239-248","title":"Expression of atresia biomarkers in granulosa cells after ovarian stimulation in heifers","volume":"156","author":[{"family":"Landry","given":"David A"},{"family":"Rossi-Perazza","given":"Lia"},{"family":"Lafontaine","given":"Simon"},{"family":"Sirard","given":"Marc-André"}],"issued":{"date-parts":[["2018",9,1]]}}}],"schema":"https://github.com/citation-style-language/schema/raw/master/csl-citation.json"} </w:instrText>
            </w:r>
            <w:r w:rsidRPr="00EB5F70">
              <w:rPr>
                <w:rFonts w:ascii="Arial" w:eastAsia="Times New Roman" w:hAnsi="Arial" w:cs="Arial"/>
                <w:color w:val="000000"/>
                <w:sz w:val="18"/>
                <w:szCs w:val="18"/>
              </w:rPr>
              <w:fldChar w:fldCharType="separate"/>
            </w:r>
            <w:r w:rsidR="001C71BD" w:rsidRPr="001C71BD">
              <w:rPr>
                <w:rFonts w:ascii="Arial" w:hAnsi="Arial" w:cs="Arial"/>
                <w:sz w:val="18"/>
              </w:rPr>
              <w:t>(16)</w:t>
            </w:r>
            <w:r w:rsidRPr="00EB5F70">
              <w:rPr>
                <w:rFonts w:ascii="Arial" w:eastAsia="Times New Roman" w:hAnsi="Arial" w:cs="Arial"/>
                <w:color w:val="000000"/>
                <w:sz w:val="18"/>
                <w:szCs w:val="18"/>
              </w:rPr>
              <w:fldChar w:fldCharType="end"/>
            </w:r>
          </w:p>
        </w:tc>
        <w:tc>
          <w:tcPr>
            <w:tcW w:w="539" w:type="pct"/>
            <w:shd w:val="clear" w:color="auto" w:fill="auto"/>
            <w:noWrap/>
            <w:vAlign w:val="bottom"/>
            <w:hideMark/>
          </w:tcPr>
          <w:p w14:paraId="023428A2" w14:textId="77777777" w:rsidR="00BF211E" w:rsidRPr="00EB5F70" w:rsidRDefault="00BF211E" w:rsidP="00386B4F">
            <w:pPr>
              <w:spacing w:after="0" w:line="240" w:lineRule="auto"/>
              <w:jc w:val="right"/>
              <w:rPr>
                <w:rFonts w:ascii="Arial" w:eastAsia="Times New Roman" w:hAnsi="Arial" w:cs="Arial"/>
                <w:color w:val="000000"/>
                <w:sz w:val="18"/>
                <w:szCs w:val="18"/>
              </w:rPr>
            </w:pPr>
            <w:r w:rsidRPr="00EB5F70">
              <w:rPr>
                <w:rFonts w:ascii="Arial" w:hAnsi="Arial" w:cs="Arial"/>
                <w:color w:val="000000"/>
                <w:sz w:val="18"/>
                <w:szCs w:val="18"/>
              </w:rPr>
              <w:t>1.70</w:t>
            </w:r>
          </w:p>
        </w:tc>
        <w:tc>
          <w:tcPr>
            <w:tcW w:w="578" w:type="pct"/>
            <w:vAlign w:val="bottom"/>
          </w:tcPr>
          <w:p w14:paraId="26077A16" w14:textId="77777777" w:rsidR="00BF211E" w:rsidRPr="00A23139" w:rsidRDefault="00BF211E" w:rsidP="00386B4F">
            <w:pPr>
              <w:spacing w:after="0" w:line="240" w:lineRule="auto"/>
              <w:rPr>
                <w:rFonts w:ascii="Arial" w:eastAsia="Times New Roman" w:hAnsi="Arial" w:cs="Arial"/>
                <w:color w:val="000000"/>
                <w:sz w:val="18"/>
                <w:szCs w:val="18"/>
              </w:rPr>
            </w:pPr>
            <w:r w:rsidRPr="00A23139">
              <w:rPr>
                <w:rFonts w:ascii="Arial" w:hAnsi="Arial" w:cs="Arial"/>
                <w:color w:val="000000"/>
                <w:sz w:val="18"/>
                <w:szCs w:val="18"/>
              </w:rPr>
              <w:t>Itih5</w:t>
            </w:r>
          </w:p>
        </w:tc>
        <w:tc>
          <w:tcPr>
            <w:tcW w:w="539" w:type="pct"/>
            <w:shd w:val="clear" w:color="auto" w:fill="auto"/>
            <w:noWrap/>
            <w:vAlign w:val="bottom"/>
            <w:hideMark/>
          </w:tcPr>
          <w:p w14:paraId="07E3706B" w14:textId="77777777" w:rsidR="00BF211E" w:rsidRPr="00A23139" w:rsidRDefault="00BF211E" w:rsidP="00386B4F">
            <w:pPr>
              <w:spacing w:after="0" w:line="240" w:lineRule="auto"/>
              <w:jc w:val="right"/>
              <w:rPr>
                <w:rFonts w:ascii="Arial" w:eastAsia="Times New Roman" w:hAnsi="Arial" w:cs="Arial"/>
                <w:color w:val="000000"/>
                <w:sz w:val="18"/>
                <w:szCs w:val="18"/>
              </w:rPr>
            </w:pPr>
            <w:r w:rsidRPr="00A23139">
              <w:rPr>
                <w:rFonts w:ascii="Arial" w:hAnsi="Arial" w:cs="Arial"/>
                <w:color w:val="000000"/>
                <w:sz w:val="18"/>
                <w:szCs w:val="18"/>
              </w:rPr>
              <w:t>1.63</w:t>
            </w:r>
          </w:p>
        </w:tc>
        <w:tc>
          <w:tcPr>
            <w:tcW w:w="741" w:type="pct"/>
            <w:vAlign w:val="bottom"/>
          </w:tcPr>
          <w:p w14:paraId="3B5C7BDC" w14:textId="77777777" w:rsidR="00BF211E" w:rsidRPr="0097360C" w:rsidRDefault="00BF211E" w:rsidP="00386B4F">
            <w:pPr>
              <w:spacing w:after="0" w:line="240" w:lineRule="auto"/>
              <w:rPr>
                <w:rFonts w:ascii="Arial" w:eastAsia="Times New Roman" w:hAnsi="Arial" w:cs="Arial"/>
                <w:color w:val="000000"/>
                <w:sz w:val="18"/>
                <w:szCs w:val="18"/>
              </w:rPr>
            </w:pPr>
            <w:r>
              <w:rPr>
                <w:rFonts w:ascii="Calibri" w:hAnsi="Calibri" w:cs="Calibri"/>
                <w:color w:val="000000"/>
              </w:rPr>
              <w:t>Birc5</w:t>
            </w:r>
          </w:p>
        </w:tc>
        <w:tc>
          <w:tcPr>
            <w:tcW w:w="539" w:type="pct"/>
            <w:shd w:val="clear" w:color="auto" w:fill="auto"/>
            <w:noWrap/>
            <w:vAlign w:val="bottom"/>
            <w:hideMark/>
          </w:tcPr>
          <w:p w14:paraId="6608693B" w14:textId="77777777" w:rsidR="00BF211E" w:rsidRPr="00EB5F70" w:rsidRDefault="00BF211E" w:rsidP="00386B4F">
            <w:pPr>
              <w:spacing w:after="0" w:line="240" w:lineRule="auto"/>
              <w:jc w:val="right"/>
              <w:rPr>
                <w:rFonts w:ascii="Arial" w:eastAsia="Times New Roman" w:hAnsi="Arial" w:cs="Arial"/>
                <w:color w:val="000000"/>
                <w:sz w:val="18"/>
                <w:szCs w:val="18"/>
              </w:rPr>
            </w:pPr>
            <w:r w:rsidRPr="00EB5F70">
              <w:rPr>
                <w:rFonts w:ascii="Arial" w:hAnsi="Arial" w:cs="Arial"/>
                <w:color w:val="000000"/>
                <w:sz w:val="18"/>
                <w:szCs w:val="18"/>
              </w:rPr>
              <w:t>1.96</w:t>
            </w:r>
          </w:p>
        </w:tc>
      </w:tr>
      <w:tr w:rsidR="00BF211E" w:rsidRPr="00D50FDC" w14:paraId="5DD68C54" w14:textId="77777777" w:rsidTr="00386B4F">
        <w:trPr>
          <w:trHeight w:val="290"/>
        </w:trPr>
        <w:tc>
          <w:tcPr>
            <w:tcW w:w="804" w:type="pct"/>
            <w:vAlign w:val="bottom"/>
          </w:tcPr>
          <w:p w14:paraId="57B0BB4F" w14:textId="02283BB7" w:rsidR="00BF211E" w:rsidRPr="00C6017F" w:rsidRDefault="00BF211E" w:rsidP="00386B4F">
            <w:pPr>
              <w:spacing w:after="0" w:line="240" w:lineRule="auto"/>
              <w:rPr>
                <w:rFonts w:ascii="Arial" w:hAnsi="Arial" w:cs="Arial"/>
                <w:color w:val="000000"/>
                <w:sz w:val="18"/>
                <w:szCs w:val="18"/>
              </w:rPr>
            </w:pPr>
            <w:r w:rsidRPr="00C6017F">
              <w:rPr>
                <w:rFonts w:ascii="Arial" w:hAnsi="Arial" w:cs="Arial"/>
                <w:color w:val="000000"/>
                <w:sz w:val="18"/>
                <w:szCs w:val="18"/>
              </w:rPr>
              <w:t>Pcsk6</w:t>
            </w:r>
            <w:r>
              <w:rPr>
                <w:rFonts w:ascii="Arial" w:hAnsi="Arial" w:cs="Arial"/>
                <w:color w:val="000000"/>
                <w:sz w:val="18"/>
                <w:szCs w:val="18"/>
              </w:rPr>
              <w:t xml:space="preserve"> </w:t>
            </w:r>
            <w:r w:rsidRPr="00D50FDC">
              <w:rPr>
                <w:rFonts w:ascii="Arial" w:eastAsia="Times New Roman" w:hAnsi="Arial" w:cs="Arial"/>
                <w:color w:val="000000"/>
                <w:sz w:val="18"/>
                <w:szCs w:val="18"/>
              </w:rPr>
              <w:fldChar w:fldCharType="begin"/>
            </w:r>
            <w:r w:rsidR="001C71BD">
              <w:rPr>
                <w:rFonts w:ascii="Arial" w:eastAsia="Times New Roman" w:hAnsi="Arial" w:cs="Arial"/>
                <w:color w:val="000000"/>
                <w:sz w:val="18"/>
                <w:szCs w:val="18"/>
                <w:lang w:val="fr-FR"/>
              </w:rPr>
              <w:instrText xml:space="preserve"> ADDIN ZOTERO_ITEM CSL_CITATION {"citationID":"5dlX21VY","properties":{"formattedCitation":"(17)","plainCitation":"(17)","noteIndex":0},"citationItems":[{"id":113,"uris":["http://zotero.org/users/local/Cg9l0yK5/items/X8MJSNGR"],"itemData":{"id":113,"type":"article-journal","abstract":"Several secreted products of the TGFbeta superfamily have important roles during follicular development and are produced by both oocytes and somatic cells (granulosa  and theca) in the follicle. The proprotein convertases are a family of seven known  proteins that process TGFbeta ligands and other secreted products to their mature  active form. The present study examined the regulation of steady-state levels of  Pcsk6 mRNA, which encodes a convertase protein known to process members of the  TGFbeta superfamily, during mouse follicular development. Pcsk6 mRNA and protein  were expressed in preantral but not cumulus or mural granulosa cells. Pcsk6 mRNA  levels in preantral granulosa cells were not regulated by growing oocytes of  preantral follicles, but were elevated by FSH. Furthermore, Pcsk6 mRNA in preantral  granulosa cells was potently suppressed by factor(s) secreted by fully grown oocytes  from antral follicles, in part through SMAD2/3-mediated pathways. Oocytes acquired  the ability to suppress the steady-state levels of Pcsk6 mRNA in granulosa cells  during the preantral to antral follicle transition. Suppression of Pcsk6 mRNA by  oocytes could reflect a change in the mechanism(s) regulating the activity of  members of the TGFbeta superfamily.","container-title":"Biology of reproduction","DOI":"10.1095/biolreprod.107.063537","ISSN":"0006-3363","issue":"1","journalAbbreviation":"Biol Reprod","language":"eng","note":"publisher-place: United States\nPMID: 17914070","page":"176-183","title":"Regulation of Pcsk6 expression during the preantral to antral follicle transition in mice: opposing roles of FSH and oocytes.","volume":"78","author":[{"family":"Diaz","given":"Francisco J."},{"family":"Sugiura","given":"Koji"},{"family":"Eppig","given":"John J."}],"issued":{"date-parts":[["2008",1]]}}}],"schema":"https://github.com/citation-style-language/schema/raw/master/csl-citation.json"} </w:instrText>
            </w:r>
            <w:r w:rsidRPr="00D50FDC">
              <w:rPr>
                <w:rFonts w:ascii="Arial" w:eastAsia="Times New Roman" w:hAnsi="Arial" w:cs="Arial"/>
                <w:color w:val="000000"/>
                <w:sz w:val="18"/>
                <w:szCs w:val="18"/>
              </w:rPr>
              <w:fldChar w:fldCharType="separate"/>
            </w:r>
            <w:r w:rsidR="001C71BD" w:rsidRPr="001C71BD">
              <w:rPr>
                <w:rFonts w:ascii="Arial" w:hAnsi="Arial" w:cs="Arial"/>
                <w:sz w:val="18"/>
              </w:rPr>
              <w:t>(17)</w:t>
            </w:r>
            <w:r w:rsidRPr="00D50FDC">
              <w:rPr>
                <w:rFonts w:ascii="Arial" w:eastAsia="Times New Roman" w:hAnsi="Arial" w:cs="Arial"/>
                <w:color w:val="000000"/>
                <w:sz w:val="18"/>
                <w:szCs w:val="18"/>
              </w:rPr>
              <w:fldChar w:fldCharType="end"/>
            </w:r>
          </w:p>
        </w:tc>
        <w:tc>
          <w:tcPr>
            <w:tcW w:w="540" w:type="pct"/>
            <w:shd w:val="clear" w:color="auto" w:fill="auto"/>
            <w:noWrap/>
            <w:vAlign w:val="bottom"/>
            <w:hideMark/>
          </w:tcPr>
          <w:p w14:paraId="320EB7D1" w14:textId="77777777" w:rsidR="00BF211E" w:rsidRPr="00A23139" w:rsidRDefault="00BF211E" w:rsidP="00386B4F">
            <w:pPr>
              <w:spacing w:after="0" w:line="240" w:lineRule="auto"/>
              <w:jc w:val="right"/>
              <w:rPr>
                <w:rFonts w:ascii="Arial" w:eastAsia="Times New Roman" w:hAnsi="Arial" w:cs="Arial"/>
                <w:color w:val="000000"/>
                <w:sz w:val="18"/>
                <w:szCs w:val="18"/>
              </w:rPr>
            </w:pPr>
            <w:r w:rsidRPr="00A23139">
              <w:rPr>
                <w:rFonts w:ascii="Arial" w:hAnsi="Arial" w:cs="Arial"/>
                <w:color w:val="000000"/>
                <w:sz w:val="18"/>
                <w:szCs w:val="18"/>
              </w:rPr>
              <w:t>1.85</w:t>
            </w:r>
          </w:p>
        </w:tc>
        <w:tc>
          <w:tcPr>
            <w:tcW w:w="720" w:type="pct"/>
            <w:vAlign w:val="bottom"/>
          </w:tcPr>
          <w:p w14:paraId="79AE98E6" w14:textId="78953F53" w:rsidR="00BF211E" w:rsidRPr="00EB5F70" w:rsidRDefault="00BF211E" w:rsidP="00386B4F">
            <w:pPr>
              <w:spacing w:after="0" w:line="240" w:lineRule="auto"/>
              <w:rPr>
                <w:rFonts w:ascii="Arial" w:eastAsia="Times New Roman" w:hAnsi="Arial" w:cs="Arial"/>
                <w:color w:val="000000"/>
                <w:sz w:val="18"/>
                <w:szCs w:val="18"/>
              </w:rPr>
            </w:pPr>
            <w:r w:rsidRPr="00EB5F70">
              <w:rPr>
                <w:rFonts w:ascii="Arial" w:hAnsi="Arial" w:cs="Arial"/>
                <w:color w:val="000000"/>
                <w:sz w:val="18"/>
                <w:szCs w:val="18"/>
              </w:rPr>
              <w:t xml:space="preserve">Hsd17b1 </w:t>
            </w:r>
            <w:r w:rsidRPr="00EB5F70">
              <w:rPr>
                <w:rFonts w:ascii="Arial" w:eastAsia="Times New Roman" w:hAnsi="Arial" w:cs="Arial"/>
                <w:color w:val="000000"/>
                <w:sz w:val="18"/>
                <w:szCs w:val="18"/>
              </w:rPr>
              <w:fldChar w:fldCharType="begin"/>
            </w:r>
            <w:r w:rsidR="001C71BD">
              <w:rPr>
                <w:rFonts w:ascii="Arial" w:eastAsia="Times New Roman" w:hAnsi="Arial" w:cs="Arial"/>
                <w:color w:val="000000"/>
                <w:sz w:val="18"/>
                <w:szCs w:val="18"/>
              </w:rPr>
              <w:instrText xml:space="preserve"> ADDIN ZOTERO_ITEM CSL_CITATION {"citationID":"Y4XZ7Y6T","properties":{"formattedCitation":"(1)","plainCitation":"(1)","noteIndex":0},"citationItems":[{"id":107,"uris":["http://zotero.org/users/local/Cg9l0yK5/items/QJGIPNB5"],"itemData":{"id":107,"type":"article-journal","abstract":"The ovary is perhaps the most dynamic organ in the human body, only rivaled by the uterus. The molecular mechanisms that regulate follicular growth and regression,  ensuring ovarian tissue homeostasis, remain elusive. We have performed single-cell  RNA-sequencing using human adult ovaries to provide a map of the molecular signature  of growing and regressing follicular populations. We have identified different types  of granulosa and theca cells and detected local production of components of the  complement system by (atretic) theca cells and stromal cells. We also have detected  a mixture of adaptive and innate immune cells, as well as several types of  endothelial and smooth muscle cells to aid the remodeling process. Our results  highlight the relevance of mapping whole adult organs at the single-cell level and  reflect ongoing efforts to map the human body. The association between complement  system and follicular remodeling may provide key insights in reproductive biology  and (in)fertility.","container-title":"Nature communications","DOI":"10.1038/s41467-019-11036-9","ISSN":"2041-1723","issue":"1","journalAbbreviation":"Nat Commun","language":"eng","note":"PMID: 31320652 \nPMCID: PMC6639403","page":"3164","title":"Single-cell reconstruction of follicular remodeling in the human adult ovary.","volume":"10","author":[{"family":"Fan","given":"X."},{"family":"Bialecka","given":"M."},{"family":"Moustakas","given":"I."},{"family":"Lam","given":"E."},{"family":"Torrens-Juaneda","given":"V."},{"family":"Borggreven","given":"N. V."},{"family":"Trouw","given":"L."},{"family":"Louwe","given":"L. A."},{"family":"Pilgram","given":"G. S. K."},{"family":"Mei","given":"H."},{"family":"Westerlaken","given":"L.","non-dropping-particle":"van der"},{"family":"Chuva de Sousa Lopes","given":"S. M."}],"issued":{"date-parts":[["2019",7,18]]}}}],"schema":"https://github.com/citation-style-language/schema/raw/master/csl-citation.json"} </w:instrText>
            </w:r>
            <w:r w:rsidRPr="00EB5F70">
              <w:rPr>
                <w:rFonts w:ascii="Arial" w:eastAsia="Times New Roman" w:hAnsi="Arial" w:cs="Arial"/>
                <w:color w:val="000000"/>
                <w:sz w:val="18"/>
                <w:szCs w:val="18"/>
              </w:rPr>
              <w:fldChar w:fldCharType="separate"/>
            </w:r>
            <w:r w:rsidR="001C71BD" w:rsidRPr="001C71BD">
              <w:rPr>
                <w:rFonts w:ascii="Arial" w:hAnsi="Arial" w:cs="Arial"/>
                <w:sz w:val="18"/>
              </w:rPr>
              <w:t>(1)</w:t>
            </w:r>
            <w:r w:rsidRPr="00EB5F70">
              <w:rPr>
                <w:rFonts w:ascii="Arial" w:eastAsia="Times New Roman" w:hAnsi="Arial" w:cs="Arial"/>
                <w:color w:val="000000"/>
                <w:sz w:val="18"/>
                <w:szCs w:val="18"/>
              </w:rPr>
              <w:fldChar w:fldCharType="end"/>
            </w:r>
          </w:p>
        </w:tc>
        <w:tc>
          <w:tcPr>
            <w:tcW w:w="539" w:type="pct"/>
            <w:shd w:val="clear" w:color="auto" w:fill="auto"/>
            <w:noWrap/>
            <w:vAlign w:val="bottom"/>
            <w:hideMark/>
          </w:tcPr>
          <w:p w14:paraId="3A2CB6CD" w14:textId="77777777" w:rsidR="00BF211E" w:rsidRPr="00EB5F70" w:rsidRDefault="00BF211E" w:rsidP="00386B4F">
            <w:pPr>
              <w:spacing w:after="0" w:line="240" w:lineRule="auto"/>
              <w:jc w:val="right"/>
              <w:rPr>
                <w:rFonts w:ascii="Arial" w:eastAsia="Times New Roman" w:hAnsi="Arial" w:cs="Arial"/>
                <w:color w:val="000000"/>
                <w:sz w:val="18"/>
                <w:szCs w:val="18"/>
              </w:rPr>
            </w:pPr>
            <w:r w:rsidRPr="00EB5F70">
              <w:rPr>
                <w:rFonts w:ascii="Arial" w:hAnsi="Arial" w:cs="Arial"/>
                <w:color w:val="000000"/>
                <w:sz w:val="18"/>
                <w:szCs w:val="18"/>
              </w:rPr>
              <w:t>1.59</w:t>
            </w:r>
          </w:p>
        </w:tc>
        <w:tc>
          <w:tcPr>
            <w:tcW w:w="578" w:type="pct"/>
            <w:vAlign w:val="bottom"/>
          </w:tcPr>
          <w:p w14:paraId="606DAB11" w14:textId="77777777" w:rsidR="00BF211E" w:rsidRPr="00A23139" w:rsidRDefault="00BF211E" w:rsidP="00386B4F">
            <w:pPr>
              <w:spacing w:after="0" w:line="240" w:lineRule="auto"/>
              <w:rPr>
                <w:rFonts w:ascii="Arial" w:eastAsia="Times New Roman" w:hAnsi="Arial" w:cs="Arial"/>
                <w:color w:val="000000"/>
                <w:sz w:val="18"/>
                <w:szCs w:val="18"/>
              </w:rPr>
            </w:pPr>
            <w:proofErr w:type="spellStart"/>
            <w:r w:rsidRPr="00A23139">
              <w:rPr>
                <w:rFonts w:ascii="Arial" w:hAnsi="Arial" w:cs="Arial"/>
                <w:color w:val="000000"/>
                <w:sz w:val="18"/>
                <w:szCs w:val="18"/>
              </w:rPr>
              <w:t>Cfh</w:t>
            </w:r>
            <w:proofErr w:type="spellEnd"/>
          </w:p>
        </w:tc>
        <w:tc>
          <w:tcPr>
            <w:tcW w:w="539" w:type="pct"/>
            <w:shd w:val="clear" w:color="auto" w:fill="auto"/>
            <w:noWrap/>
            <w:vAlign w:val="bottom"/>
            <w:hideMark/>
          </w:tcPr>
          <w:p w14:paraId="6A4887C9" w14:textId="77777777" w:rsidR="00BF211E" w:rsidRPr="00A23139" w:rsidRDefault="00BF211E" w:rsidP="00386B4F">
            <w:pPr>
              <w:spacing w:after="0" w:line="240" w:lineRule="auto"/>
              <w:jc w:val="right"/>
              <w:rPr>
                <w:rFonts w:ascii="Arial" w:eastAsia="Times New Roman" w:hAnsi="Arial" w:cs="Arial"/>
                <w:color w:val="000000"/>
                <w:sz w:val="18"/>
                <w:szCs w:val="18"/>
              </w:rPr>
            </w:pPr>
            <w:r w:rsidRPr="00A23139">
              <w:rPr>
                <w:rFonts w:ascii="Arial" w:hAnsi="Arial" w:cs="Arial"/>
                <w:color w:val="000000"/>
                <w:sz w:val="18"/>
                <w:szCs w:val="18"/>
              </w:rPr>
              <w:t>1.61</w:t>
            </w:r>
          </w:p>
        </w:tc>
        <w:tc>
          <w:tcPr>
            <w:tcW w:w="741" w:type="pct"/>
            <w:vAlign w:val="bottom"/>
          </w:tcPr>
          <w:p w14:paraId="7B8E1756" w14:textId="73FA3570" w:rsidR="00BF211E" w:rsidRPr="0097360C" w:rsidRDefault="00BF211E" w:rsidP="00386B4F">
            <w:pPr>
              <w:spacing w:after="0" w:line="240" w:lineRule="auto"/>
              <w:rPr>
                <w:rFonts w:ascii="Arial" w:eastAsia="Times New Roman" w:hAnsi="Arial" w:cs="Arial"/>
                <w:color w:val="000000"/>
                <w:sz w:val="18"/>
                <w:szCs w:val="18"/>
                <w:lang w:val="fr-FR"/>
              </w:rPr>
            </w:pPr>
            <w:r>
              <w:rPr>
                <w:rFonts w:ascii="Calibri" w:hAnsi="Calibri" w:cs="Calibri"/>
                <w:color w:val="000000"/>
              </w:rPr>
              <w:t xml:space="preserve">Ccna2 </w:t>
            </w:r>
            <w:r w:rsidRPr="00D50FDC">
              <w:rPr>
                <w:rFonts w:ascii="Arial" w:eastAsia="Times New Roman" w:hAnsi="Arial" w:cs="Arial"/>
                <w:color w:val="000000"/>
                <w:sz w:val="18"/>
                <w:szCs w:val="18"/>
              </w:rPr>
              <w:t xml:space="preserve"> </w:t>
            </w:r>
            <w:r w:rsidRPr="00D50FDC">
              <w:rPr>
                <w:rFonts w:ascii="Arial" w:eastAsia="Times New Roman" w:hAnsi="Arial" w:cs="Arial"/>
                <w:color w:val="000000"/>
                <w:sz w:val="18"/>
                <w:szCs w:val="18"/>
              </w:rPr>
              <w:fldChar w:fldCharType="begin"/>
            </w:r>
            <w:r w:rsidR="001C71BD">
              <w:rPr>
                <w:rFonts w:ascii="Arial" w:eastAsia="Times New Roman" w:hAnsi="Arial" w:cs="Arial"/>
                <w:color w:val="000000"/>
                <w:sz w:val="18"/>
                <w:szCs w:val="18"/>
              </w:rPr>
              <w:instrText xml:space="preserve"> ADDIN ZOTERO_ITEM CSL_CITATION {"citationID":"5VLtTzHV","properties":{"formattedCitation":"(18,19)","plainCitation":"(18,19)","noteIndex":0},"citationItems":[{"id":289,"uris":["http://zotero.org/users/local/Cg9l0yK5/items/JQBVAMYR"],"itemData":{"id":289,"type":"article-journal","abstract":"Several types of cyclins have been identified and among these, cyclin A2 is synthesized in somatic cells at the onset of DNA synthesis as well as during the  G2/M transition associated with cyclin-dependent protein kinases 1 and 2. Modulation  of cyclin A transcription is due to the interplay between a cell cycle-dependent  periodic relief of a transcriptional repression and signals transduced through  adenosine 3',5'-cyclic monophosphate, transforming growth factor-beta, and the  integrin-mediated pathways. Using primary mouse embryonic fibroblasts from embryos  where the genes coding for the protein responsible for susceptibility to  retinoblastoma (pRB) and the related p107 and p130 proteins had been individually  inactivated, we showed that cyclin A is a functional target of pRB-mediated cell  cycle arrest. The factors involved are discussed.","container-title":"Biochemical pharmacology","DOI":"10.1016/s0006-2952(00)00384-1","ISSN":"0006-2952","issue":"8","journalAbbreviation":"Biochem Pharmacol","language":"eng","note":"publisher-place: England\nPMID: 11007956","page":"1179-1184","title":"Cyclin A2 transcriptional regulation: modulation of cell cycle control at the G1/S transition by peripheral cues.","volume":"60","author":[{"family":"Blanchard","given":"J. M."}],"issued":{"date-parts":[["2000",10,15]]}}},{"id":290,"uris":["http://zotero.org/users/local/Cg9l0yK5/items/RBHS63BF"],"itemData":{"id":290,"type":"article-journal","abstract":"Here we have used siRNAs and time-lapse epifluorescence microscopy to examine the roles of various candidate mitotic cyclins in chromatin condensation in HeLa cells.  Knocking down cyclin A2 resulted in a substantial (</w:instrText>
            </w:r>
            <w:r w:rsidR="001C71BD">
              <w:rPr>
                <w:rFonts w:ascii="Cambria Math" w:eastAsia="Times New Roman" w:hAnsi="Cambria Math" w:cs="Cambria Math"/>
                <w:color w:val="000000"/>
                <w:sz w:val="18"/>
                <w:szCs w:val="18"/>
              </w:rPr>
              <w:instrText>∼</w:instrText>
            </w:r>
            <w:r w:rsidR="001C71BD">
              <w:rPr>
                <w:rFonts w:ascii="Arial" w:eastAsia="Times New Roman" w:hAnsi="Arial" w:cs="Arial"/>
                <w:color w:val="000000"/>
                <w:sz w:val="18"/>
                <w:szCs w:val="18"/>
              </w:rPr>
              <w:instrText xml:space="preserve">7 h) delay in chromatin  condensation and histone H3 phosphorylation, and expressing an siRNA-resistant form  of cyclin A2 partially rescued chromatin condensation. There was no detectable delay  in DNA replication in the cyclin A2 knockdowns, arguing that the delay in chromatin  condensation is not secondary to a delay in S-phase completion. Cyclin A2 is  required for the activation and nuclear accumulation of cyclin B1-Cdk1, raising the  possibility that cyclin B1-Cdk1 mediates the effects of cyclin A2. Consistent with  this possibility, we found that chromatin condensation was tightly associated  temporally with the redistribution of cyclin B1 to the nucleus. Moreover, a  constitutively nuclear cyclin B1 rescued chromatin condensation in cyclin A2  knockdown cells. On the other hand, knocking down cyclin B1 delayed chromatin  condensation by only about one hour. Our working hypothesis is that active, nuclear  cyclin B1-Cdk1 normally cooperates with cyclin A2 to bring about early mitotic  events. Because cyclin A2 is present only during the early stages of mitosis, we  asked whether cyclin B knockdown might have more dramatic defects on late mitotic  events. Consistent with this possibility, we found that cyclin B1- and cyclin  B1/B2-knockdown cells had difficulty in maintaining a mitotic arrest in the presence  of nocodazole. Taken together, these data suggest that cyclin A2 helps initiate  mitosis, in part through its effects on cyclin B1, and that cyclins B1 and B2 are  particularly critical for the maintenance of the mitotic state.","container-title":"Molecular biology of the cell","DOI":"10.1091/mbc.E10-05-0393","ISSN":"1939-4586 1059-1524","issue":"18","journalAbbreviation":"Mol Biol Cell","language":"eng","note":"PMID: 20660152 \nPMCID: PMC2938381","page":"3149-3161","title":"The roles of cyclin A2, B1, and B2 in early and late mitotic events.","volume":"21","author":[{"family":"Gong","given":"Delquin"},{"family":"Ferrell","given":"James E. Jr"}],"issued":{"date-parts":[["2010",9,15]]}}}],"schema":"https://github.com/citation-style-language/schema/raw/master/csl-citation.json"} </w:instrText>
            </w:r>
            <w:r w:rsidRPr="00D50FDC">
              <w:rPr>
                <w:rFonts w:ascii="Arial" w:eastAsia="Times New Roman" w:hAnsi="Arial" w:cs="Arial"/>
                <w:color w:val="000000"/>
                <w:sz w:val="18"/>
                <w:szCs w:val="18"/>
              </w:rPr>
              <w:fldChar w:fldCharType="separate"/>
            </w:r>
            <w:r w:rsidR="001C71BD" w:rsidRPr="001C71BD">
              <w:rPr>
                <w:rFonts w:ascii="Arial" w:hAnsi="Arial" w:cs="Arial"/>
                <w:sz w:val="18"/>
              </w:rPr>
              <w:t>(18,19)</w:t>
            </w:r>
            <w:r w:rsidRPr="00D50FDC">
              <w:rPr>
                <w:rFonts w:ascii="Arial" w:eastAsia="Times New Roman" w:hAnsi="Arial" w:cs="Arial"/>
                <w:color w:val="000000"/>
                <w:sz w:val="18"/>
                <w:szCs w:val="18"/>
              </w:rPr>
              <w:fldChar w:fldCharType="end"/>
            </w:r>
          </w:p>
        </w:tc>
        <w:tc>
          <w:tcPr>
            <w:tcW w:w="539" w:type="pct"/>
            <w:shd w:val="clear" w:color="auto" w:fill="auto"/>
            <w:noWrap/>
            <w:vAlign w:val="bottom"/>
            <w:hideMark/>
          </w:tcPr>
          <w:p w14:paraId="15223EF9" w14:textId="77777777" w:rsidR="00BF211E" w:rsidRPr="00EB5F70" w:rsidRDefault="00BF211E" w:rsidP="00386B4F">
            <w:pPr>
              <w:spacing w:after="0" w:line="240" w:lineRule="auto"/>
              <w:jc w:val="right"/>
              <w:rPr>
                <w:rFonts w:ascii="Arial" w:eastAsia="Times New Roman" w:hAnsi="Arial" w:cs="Arial"/>
                <w:color w:val="000000"/>
                <w:sz w:val="18"/>
                <w:szCs w:val="18"/>
              </w:rPr>
            </w:pPr>
            <w:r w:rsidRPr="00EB5F70">
              <w:rPr>
                <w:rFonts w:ascii="Arial" w:hAnsi="Arial" w:cs="Arial"/>
                <w:color w:val="000000"/>
                <w:sz w:val="18"/>
                <w:szCs w:val="18"/>
              </w:rPr>
              <w:t>1.95</w:t>
            </w:r>
          </w:p>
        </w:tc>
      </w:tr>
      <w:tr w:rsidR="00BF211E" w:rsidRPr="00D50FDC" w14:paraId="7B5CC5FE" w14:textId="77777777" w:rsidTr="00386B4F">
        <w:trPr>
          <w:trHeight w:val="290"/>
        </w:trPr>
        <w:tc>
          <w:tcPr>
            <w:tcW w:w="804" w:type="pct"/>
            <w:vAlign w:val="bottom"/>
          </w:tcPr>
          <w:p w14:paraId="0AD2635C" w14:textId="37773F76" w:rsidR="00BF211E" w:rsidRPr="00C6017F" w:rsidRDefault="00BF211E" w:rsidP="00386B4F">
            <w:pPr>
              <w:spacing w:after="0" w:line="240" w:lineRule="auto"/>
              <w:rPr>
                <w:rFonts w:ascii="Arial" w:hAnsi="Arial" w:cs="Arial"/>
                <w:color w:val="000000"/>
                <w:sz w:val="18"/>
                <w:szCs w:val="18"/>
              </w:rPr>
            </w:pPr>
            <w:r w:rsidRPr="00C6017F">
              <w:rPr>
                <w:rFonts w:ascii="Arial" w:hAnsi="Arial" w:cs="Arial"/>
                <w:color w:val="000000"/>
                <w:sz w:val="18"/>
                <w:szCs w:val="18"/>
              </w:rPr>
              <w:t>Slc18a2</w:t>
            </w:r>
            <w:r>
              <w:rPr>
                <w:rFonts w:ascii="Arial" w:hAnsi="Arial" w:cs="Arial"/>
                <w:color w:val="000000"/>
                <w:sz w:val="18"/>
                <w:szCs w:val="18"/>
              </w:rPr>
              <w:t xml:space="preserve"> </w:t>
            </w:r>
            <w:r w:rsidRPr="00D50FDC">
              <w:rPr>
                <w:rFonts w:ascii="Arial" w:eastAsia="Times New Roman" w:hAnsi="Arial" w:cs="Arial"/>
                <w:color w:val="000000"/>
                <w:sz w:val="18"/>
                <w:szCs w:val="18"/>
              </w:rPr>
              <w:fldChar w:fldCharType="begin"/>
            </w:r>
            <w:r w:rsidR="001C71BD">
              <w:rPr>
                <w:rFonts w:ascii="Arial" w:eastAsia="Times New Roman" w:hAnsi="Arial" w:cs="Arial"/>
                <w:color w:val="000000"/>
                <w:sz w:val="18"/>
                <w:szCs w:val="18"/>
                <w:lang w:val="fr-FR"/>
              </w:rPr>
              <w:instrText xml:space="preserve"> ADDIN ZOTERO_ITEM CSL_CITATION {"citationID":"JuYbGI2w","properties":{"formattedCitation":"(20)","plainCitation":"(20)","noteIndex":0},"citationItems":[{"id":106,"uris":["http://zotero.org/users/local/Cg9l0yK5/items/BLPDZ2H7"],"itemData":{"id":106,"type":"article-journal","abstract":"Female infertility syndromes are among the most prevalent chronic health disorders in women, but their genetic basis remains unknown because of uncertainty regarding  the number and identity of ovarian factors controlling the assembly, preservation,  and maturation of ovarian follicles. To systematically discover ovarian fertility  genes en masse, we employed a mouse model (Foxo3) in which follicles are assembled  normally but then undergo synchronous activation. We developed a microarray-based  approach for the systematic discovery of tissue-specific genes and, by applying it  to Foxo3 ovaries and other samples, defined a surprisingly large set of ovarian  factors (n = 348, approximately 1% of the mouse genome). This set included the vast  majority of known ovarian factors, 44% of which when mutated produce female  sterility phenotypes, but most were novel. Comparative profiling of other tissues,  including microdissected oocytes and somatic cells, revealed distinct gene classes  and provided new insights into oogenesis and ovarian function, demonstrating the  utility of our approach for tissue-specific gene discovery. This study will thus  facilitate comprehensive analyses of follicle development, ovarian function, and  female infertility.","container-title":"Genetics","DOI":"10.1534/genetics.107.074823","ISSN":"0016-6731","issue":"1","journalAbbreviation":"Genetics","language":"eng","note":"PMID: 17660561 \nPMCID: PMC2013718","page":"179-194","title":"Genomewide discovery and classification of candidate ovarian fertility genes in the mouse.","volume":"177","author":[{"family":"Gallardo","given":"Teresa D."},{"family":"John","given":"George B."},{"family":"Shirley","given":"Lane"},{"family":"Contreras","given":"Cristina M."},{"family":"Akbay","given":"Esra A."},{"family":"Haynie","given":"J. Marshall"},{"family":"Ward","given":"Samuel E."},{"family":"Shidler","given":"Meredith J."},{"family":"Castrillon","given":"Diego H."}],"issued":{"date-parts":[["2007",9]]}}}],"schema":"https://github.com/citation-style-language/schema/raw/master/csl-citation.json"} </w:instrText>
            </w:r>
            <w:r w:rsidRPr="00D50FDC">
              <w:rPr>
                <w:rFonts w:ascii="Arial" w:eastAsia="Times New Roman" w:hAnsi="Arial" w:cs="Arial"/>
                <w:color w:val="000000"/>
                <w:sz w:val="18"/>
                <w:szCs w:val="18"/>
              </w:rPr>
              <w:fldChar w:fldCharType="separate"/>
            </w:r>
            <w:r w:rsidR="001C71BD" w:rsidRPr="001C71BD">
              <w:rPr>
                <w:rFonts w:ascii="Arial" w:hAnsi="Arial" w:cs="Arial"/>
                <w:sz w:val="18"/>
              </w:rPr>
              <w:t>(20)</w:t>
            </w:r>
            <w:r w:rsidRPr="00D50FDC">
              <w:rPr>
                <w:rFonts w:ascii="Arial" w:eastAsia="Times New Roman" w:hAnsi="Arial" w:cs="Arial"/>
                <w:color w:val="000000"/>
                <w:sz w:val="18"/>
                <w:szCs w:val="18"/>
              </w:rPr>
              <w:fldChar w:fldCharType="end"/>
            </w:r>
          </w:p>
        </w:tc>
        <w:tc>
          <w:tcPr>
            <w:tcW w:w="540" w:type="pct"/>
            <w:shd w:val="clear" w:color="auto" w:fill="auto"/>
            <w:noWrap/>
            <w:vAlign w:val="bottom"/>
            <w:hideMark/>
          </w:tcPr>
          <w:p w14:paraId="443A8907" w14:textId="77777777" w:rsidR="00BF211E" w:rsidRPr="00A23139" w:rsidRDefault="00BF211E" w:rsidP="00386B4F">
            <w:pPr>
              <w:spacing w:after="0" w:line="240" w:lineRule="auto"/>
              <w:jc w:val="right"/>
              <w:rPr>
                <w:rFonts w:ascii="Arial" w:eastAsia="Times New Roman" w:hAnsi="Arial" w:cs="Arial"/>
                <w:color w:val="000000"/>
                <w:sz w:val="18"/>
                <w:szCs w:val="18"/>
              </w:rPr>
            </w:pPr>
            <w:r w:rsidRPr="00A23139">
              <w:rPr>
                <w:rFonts w:ascii="Arial" w:hAnsi="Arial" w:cs="Arial"/>
                <w:color w:val="000000"/>
                <w:sz w:val="18"/>
                <w:szCs w:val="18"/>
              </w:rPr>
              <w:t>1.84</w:t>
            </w:r>
          </w:p>
        </w:tc>
        <w:tc>
          <w:tcPr>
            <w:tcW w:w="720" w:type="pct"/>
            <w:vAlign w:val="bottom"/>
          </w:tcPr>
          <w:p w14:paraId="14A7ABC2" w14:textId="57DCCB7E" w:rsidR="00BF211E" w:rsidRPr="00EB5F70" w:rsidRDefault="00BF211E" w:rsidP="00386B4F">
            <w:pPr>
              <w:spacing w:after="0" w:line="240" w:lineRule="auto"/>
              <w:rPr>
                <w:rFonts w:ascii="Arial" w:eastAsia="Times New Roman" w:hAnsi="Arial" w:cs="Arial"/>
                <w:color w:val="000000"/>
                <w:sz w:val="18"/>
                <w:szCs w:val="18"/>
              </w:rPr>
            </w:pPr>
            <w:r w:rsidRPr="00EB5F70">
              <w:rPr>
                <w:rFonts w:ascii="Arial" w:hAnsi="Arial" w:cs="Arial"/>
                <w:color w:val="000000"/>
                <w:sz w:val="18"/>
                <w:szCs w:val="18"/>
              </w:rPr>
              <w:t xml:space="preserve">Slc26a7 </w:t>
            </w:r>
            <w:r w:rsidRPr="00EB5F70">
              <w:rPr>
                <w:rFonts w:ascii="Arial" w:eastAsia="Times New Roman" w:hAnsi="Arial" w:cs="Arial"/>
                <w:color w:val="000000"/>
                <w:sz w:val="18"/>
                <w:szCs w:val="18"/>
              </w:rPr>
              <w:fldChar w:fldCharType="begin"/>
            </w:r>
            <w:r w:rsidR="001C71BD">
              <w:rPr>
                <w:rFonts w:ascii="Arial" w:eastAsia="Times New Roman" w:hAnsi="Arial" w:cs="Arial"/>
                <w:color w:val="000000"/>
                <w:sz w:val="18"/>
                <w:szCs w:val="18"/>
                <w:lang w:val="fr-FR"/>
              </w:rPr>
              <w:instrText xml:space="preserve"> ADDIN ZOTERO_ITEM CSL_CITATION {"citationID":"bsycmWlJ","properties":{"formattedCitation":"(21)","plainCitation":"(21)","noteIndex":0},"citationItems":[{"id":152,"uris":["http://zotero.org/users/local/Cg9l0yK5/items/FFVBSYBM"],"itemData":{"id":152,"type":"article-journal","abstract":"WNT, RAS or phosphoinositide 3-kinase signaling pathways control specific stages of ovarian follicular development. To analyze the functional interactions of these  pathways in granulosa cells during follicular development in vivo, we generated  specific mutant mouse models. Stable activation of the WNT signaling effector  β-catenin (CTNNB1) in granulosa cells results in the formation of premalignant  lesions that develop into granulosa cell tumors (GCTs) spontaneously later in life  or following targeted deletion of the tumor suppressor gene Pten. Conversely,  expression of oncogenic KRAS(G12D) dramatically arrests proliferation,  differentiation and apoptosis in granulosa cells, and consequently, small abnormal  follicle-like structures devoid of oocytes accumulate in the ovary. Because of the  potent anti-proliferative effects of KRAS(G12D) in granulosa cells, we sought to  determine whether KRAS(G12D) would block precancerous lesion and tumor formation in  follicles of the CTNNB1-mutant mice. Unexpectedly, transgenic Ctnnb1;Kras-mutant  mice exhibited increased GC proliferation, decreased apoptosis and impaired  differentiation and developed early-onset GCTs leading to premature death in a  manner similar to the Ctnnb1;Pten-mutant mice. Microarray and reverse  transcription-PCR analyses revealed that gene regulatory processes induced by CTNNB1  were mostly enhanced by either KRAS activation or Pten loss in remarkably similar  patterns and degree. The concomitant activation of CTNNB1 and KRAS in Sertoli cells  also caused testicular granulosa cell tumors that showed gene expression patterns  that partially overlapped those observed in GCTs of the ovary. Although the  mutations analyzed herein have not yet been linked to adult GCTs in humans, they may  be related to juvenile GCTs or to tumors in other tissues where CTNNB1 is mutated.  Importantly, the results provide strong evidence that CTNNB1 is the driver in these  contexts and that KRAS(G12D) and Pten loss promote the program set in motion by the  CTNNB1.","container-title":"Oncogene","DOI":"10.1038/onc.2011.341","ISSN":"1476-5594 0950-9232","issue":"12","journalAbbreviation":"Oncogene","language":"eng","note":"PMID: 21860425 \nPMCID: PMC3223552","page":"1504-1520","title":"Either Kras activation or Pten loss similarly enhance the dominant-stable CTNNB1-induced genetic program to promote granulosa cell tumor development in the  ovary and testis.","volume":"31","author":[{"family":"Richards","given":"J. S."},{"family":"Fan","given":"H.-Y."},{"family":"Liu","given":"Z."},{"family":"Tsoi","given":"M."},{"family":"Laguë","given":"M.-N."},{"family":"Boyer","given":"A."},{"family":"Boerboom","given":"D."}],"issued":{"date-parts":[["2012",3,22]]}}}],"schema":"https://github.com/citation-style-language/schema/raw/master/csl-citation.json"} </w:instrText>
            </w:r>
            <w:r w:rsidRPr="00EB5F70">
              <w:rPr>
                <w:rFonts w:ascii="Arial" w:eastAsia="Times New Roman" w:hAnsi="Arial" w:cs="Arial"/>
                <w:color w:val="000000"/>
                <w:sz w:val="18"/>
                <w:szCs w:val="18"/>
              </w:rPr>
              <w:fldChar w:fldCharType="separate"/>
            </w:r>
            <w:r w:rsidR="001C71BD" w:rsidRPr="001C71BD">
              <w:rPr>
                <w:rFonts w:ascii="Arial" w:hAnsi="Arial" w:cs="Arial"/>
                <w:sz w:val="18"/>
              </w:rPr>
              <w:t>(21)</w:t>
            </w:r>
            <w:r w:rsidRPr="00EB5F70">
              <w:rPr>
                <w:rFonts w:ascii="Arial" w:eastAsia="Times New Roman" w:hAnsi="Arial" w:cs="Arial"/>
                <w:color w:val="000000"/>
                <w:sz w:val="18"/>
                <w:szCs w:val="18"/>
              </w:rPr>
              <w:fldChar w:fldCharType="end"/>
            </w:r>
          </w:p>
        </w:tc>
        <w:tc>
          <w:tcPr>
            <w:tcW w:w="539" w:type="pct"/>
            <w:shd w:val="clear" w:color="auto" w:fill="auto"/>
            <w:noWrap/>
            <w:vAlign w:val="bottom"/>
            <w:hideMark/>
          </w:tcPr>
          <w:p w14:paraId="7F74FFA0" w14:textId="77777777" w:rsidR="00BF211E" w:rsidRPr="00EB5F70" w:rsidRDefault="00BF211E" w:rsidP="00386B4F">
            <w:pPr>
              <w:spacing w:after="0" w:line="240" w:lineRule="auto"/>
              <w:jc w:val="right"/>
              <w:rPr>
                <w:rFonts w:ascii="Arial" w:eastAsia="Times New Roman" w:hAnsi="Arial" w:cs="Arial"/>
                <w:color w:val="000000"/>
                <w:sz w:val="18"/>
                <w:szCs w:val="18"/>
              </w:rPr>
            </w:pPr>
            <w:r w:rsidRPr="00EB5F70">
              <w:rPr>
                <w:rFonts w:ascii="Arial" w:hAnsi="Arial" w:cs="Arial"/>
                <w:color w:val="000000"/>
                <w:sz w:val="18"/>
                <w:szCs w:val="18"/>
              </w:rPr>
              <w:t>1.56</w:t>
            </w:r>
          </w:p>
        </w:tc>
        <w:tc>
          <w:tcPr>
            <w:tcW w:w="578" w:type="pct"/>
            <w:vAlign w:val="bottom"/>
          </w:tcPr>
          <w:p w14:paraId="467F8846" w14:textId="77777777" w:rsidR="00BF211E" w:rsidRPr="00A23139" w:rsidRDefault="00BF211E" w:rsidP="00386B4F">
            <w:pPr>
              <w:spacing w:after="0" w:line="240" w:lineRule="auto"/>
              <w:rPr>
                <w:rFonts w:ascii="Arial" w:eastAsia="Times New Roman" w:hAnsi="Arial" w:cs="Arial"/>
                <w:color w:val="000000"/>
                <w:sz w:val="18"/>
                <w:szCs w:val="18"/>
                <w:lang w:val="fr-FR"/>
              </w:rPr>
            </w:pPr>
            <w:r w:rsidRPr="00A23139">
              <w:rPr>
                <w:rFonts w:ascii="Arial" w:hAnsi="Arial" w:cs="Arial"/>
                <w:color w:val="000000"/>
                <w:sz w:val="18"/>
                <w:szCs w:val="18"/>
              </w:rPr>
              <w:t>Asb4</w:t>
            </w:r>
          </w:p>
        </w:tc>
        <w:tc>
          <w:tcPr>
            <w:tcW w:w="539" w:type="pct"/>
            <w:shd w:val="clear" w:color="auto" w:fill="auto"/>
            <w:noWrap/>
            <w:vAlign w:val="bottom"/>
            <w:hideMark/>
          </w:tcPr>
          <w:p w14:paraId="259BB5AE" w14:textId="77777777" w:rsidR="00BF211E" w:rsidRPr="00A23139" w:rsidRDefault="00BF211E" w:rsidP="00386B4F">
            <w:pPr>
              <w:spacing w:after="0" w:line="240" w:lineRule="auto"/>
              <w:jc w:val="right"/>
              <w:rPr>
                <w:rFonts w:ascii="Arial" w:eastAsia="Times New Roman" w:hAnsi="Arial" w:cs="Arial"/>
                <w:color w:val="000000"/>
                <w:sz w:val="18"/>
                <w:szCs w:val="18"/>
              </w:rPr>
            </w:pPr>
            <w:r w:rsidRPr="00A23139">
              <w:rPr>
                <w:rFonts w:ascii="Arial" w:hAnsi="Arial" w:cs="Arial"/>
                <w:color w:val="000000"/>
                <w:sz w:val="18"/>
                <w:szCs w:val="18"/>
              </w:rPr>
              <w:t>1.56</w:t>
            </w:r>
          </w:p>
        </w:tc>
        <w:tc>
          <w:tcPr>
            <w:tcW w:w="741" w:type="pct"/>
            <w:vAlign w:val="bottom"/>
          </w:tcPr>
          <w:p w14:paraId="61959C4A" w14:textId="77777777" w:rsidR="00BF211E" w:rsidRPr="0097360C" w:rsidRDefault="00BF211E" w:rsidP="00386B4F">
            <w:pPr>
              <w:spacing w:after="0" w:line="240" w:lineRule="auto"/>
              <w:rPr>
                <w:rFonts w:ascii="Arial" w:eastAsia="Times New Roman" w:hAnsi="Arial" w:cs="Arial"/>
                <w:color w:val="000000"/>
                <w:sz w:val="18"/>
                <w:szCs w:val="18"/>
                <w:lang w:val="fr-FR"/>
              </w:rPr>
            </w:pPr>
            <w:r>
              <w:rPr>
                <w:rFonts w:ascii="Calibri" w:hAnsi="Calibri" w:cs="Calibri"/>
                <w:color w:val="000000"/>
              </w:rPr>
              <w:t>Ccnb2</w:t>
            </w:r>
          </w:p>
        </w:tc>
        <w:tc>
          <w:tcPr>
            <w:tcW w:w="539" w:type="pct"/>
            <w:shd w:val="clear" w:color="auto" w:fill="auto"/>
            <w:noWrap/>
            <w:vAlign w:val="bottom"/>
            <w:hideMark/>
          </w:tcPr>
          <w:p w14:paraId="4399B90B" w14:textId="77777777" w:rsidR="00BF211E" w:rsidRPr="00EB5F70" w:rsidRDefault="00BF211E" w:rsidP="00386B4F">
            <w:pPr>
              <w:spacing w:after="0" w:line="240" w:lineRule="auto"/>
              <w:jc w:val="right"/>
              <w:rPr>
                <w:rFonts w:ascii="Arial" w:eastAsia="Times New Roman" w:hAnsi="Arial" w:cs="Arial"/>
                <w:color w:val="000000"/>
                <w:sz w:val="18"/>
                <w:szCs w:val="18"/>
              </w:rPr>
            </w:pPr>
            <w:r w:rsidRPr="00EB5F70">
              <w:rPr>
                <w:rFonts w:ascii="Arial" w:hAnsi="Arial" w:cs="Arial"/>
                <w:color w:val="000000"/>
                <w:sz w:val="18"/>
                <w:szCs w:val="18"/>
              </w:rPr>
              <w:t>1.86</w:t>
            </w:r>
          </w:p>
        </w:tc>
      </w:tr>
      <w:tr w:rsidR="00BF211E" w:rsidRPr="00D50FDC" w14:paraId="602146F5" w14:textId="77777777" w:rsidTr="00386B4F">
        <w:trPr>
          <w:trHeight w:val="290"/>
        </w:trPr>
        <w:tc>
          <w:tcPr>
            <w:tcW w:w="804" w:type="pct"/>
            <w:vAlign w:val="bottom"/>
          </w:tcPr>
          <w:p w14:paraId="312489CD" w14:textId="63005215" w:rsidR="00BF211E" w:rsidRPr="00C6017F" w:rsidRDefault="00BF211E" w:rsidP="00386B4F">
            <w:pPr>
              <w:spacing w:after="0" w:line="240" w:lineRule="auto"/>
              <w:rPr>
                <w:rFonts w:ascii="Arial" w:hAnsi="Arial" w:cs="Arial"/>
                <w:color w:val="000000"/>
                <w:sz w:val="18"/>
                <w:szCs w:val="18"/>
              </w:rPr>
            </w:pPr>
            <w:r w:rsidRPr="00C6017F">
              <w:rPr>
                <w:rFonts w:ascii="Arial" w:hAnsi="Arial" w:cs="Arial"/>
                <w:color w:val="000000"/>
                <w:sz w:val="18"/>
                <w:szCs w:val="18"/>
              </w:rPr>
              <w:t>Fndc5</w:t>
            </w:r>
            <w:r>
              <w:rPr>
                <w:rFonts w:ascii="Arial" w:hAnsi="Arial" w:cs="Arial"/>
                <w:color w:val="000000"/>
                <w:sz w:val="18"/>
                <w:szCs w:val="18"/>
              </w:rPr>
              <w:t xml:space="preserve"> </w:t>
            </w:r>
            <w:r w:rsidRPr="0097360C">
              <w:rPr>
                <w:rFonts w:ascii="Arial" w:eastAsia="Times New Roman" w:hAnsi="Arial" w:cs="Arial"/>
                <w:color w:val="000000"/>
                <w:sz w:val="18"/>
                <w:szCs w:val="18"/>
                <w:lang w:val="fr-FR"/>
              </w:rPr>
              <w:t xml:space="preserve"> </w:t>
            </w:r>
            <w:r w:rsidRPr="00D50FDC">
              <w:rPr>
                <w:rFonts w:ascii="Arial" w:eastAsia="Times New Roman" w:hAnsi="Arial" w:cs="Arial"/>
                <w:color w:val="000000"/>
                <w:sz w:val="18"/>
                <w:szCs w:val="18"/>
                <w:lang w:val="fr-FR"/>
              </w:rPr>
              <w:fldChar w:fldCharType="begin"/>
            </w:r>
            <w:r w:rsidR="001C71BD">
              <w:rPr>
                <w:rFonts w:ascii="Arial" w:eastAsia="Times New Roman" w:hAnsi="Arial" w:cs="Arial"/>
                <w:color w:val="000000"/>
                <w:sz w:val="18"/>
                <w:szCs w:val="18"/>
                <w:lang w:val="fr-FR"/>
              </w:rPr>
              <w:instrText xml:space="preserve"> ADDIN ZOTERO_ITEM CSL_CITATION {"citationID":"VKPQQC1j","properties":{"formattedCitation":"(22)","plainCitation":"(22)","noteIndex":0},"citationItems":[{"id":223,"uris":["http://zotero.org/users/local/Cg9l0yK5/items/9333P5K2"],"itemData":{"id":223,"type":"article-journal","abstract":"BACKGROUND: Irisin, which is cleaved from fibronectin type III domain-containing protein 5 (Fndc5), plays an important role in energy homeostasis. The link between  energy metabolism and reproduction is well known. However, the biological actions of  irisin in reproduction remain largely unexplored. METHODS: In this study, we  generated Fndc5 gene mutation to create irisin deficient mice. Female wild-type (WT)  and Fndc5 mutant mice were fed with standard chow for 48 weeks. Firstly, the  survival rate, body weight and fertility were described in mice. Secondly, the  levels of steroid hormones in serum were measured by ELISA, and the estrus cycle and  the appearance of follicles were determined by vaginal smears and ovarian continuous  sections. Thirdly, mRNA-sequencing analysis was used to compare gene expression  between the ovaries of Fndc5 mutant mice and those of WT mice. Finally, the effects  of exogenous irisin on steroid hormone production was investigated in KGN cells.  RESULTS: The mice lacking irisin presented increased mortality, reduced body weight  and poor fertility. Analysis of sex hormones showed decreased levels of estradiol,  follicle-stimulating hormone and luteinizing hormone, and elevated progesterone  levels in Fndc5 mutant mice. Irisin deficiency in mice was associated with irregular  estrus, reduced ratio of antral follicles. The expressions of Akr1c18, Mamld1, and  Cyp19a1, which are involved in the synthesis of steroid hormones, were reduced in  the ovaries of mutant mice. Exogenous irisin could promote the expression of  Akr1c18, Mamld1, and Cyp19a1 in KGN cells, stimulating estradiol production and  inhibiting progesterone secretion. CONCLUSIONS: Irisin deficiency was related to  disordered endocrinology metabolism in mice. The irisin deficient mice showed poor  growth and development, and decreased fertility. Irisin likely have effects on the  expressions of Akr1c18, Mamld1 and Cyp19a1 in ovary, regulating the steroid hormone  production. This study provides novel insights into the potential role of irisin in  mammalian growth and reproduction.","container-title":"Reproductive biology and endocrinology : RB&amp;E","DOI":"10.1186/s12958-021-00702-7","ISSN":"1477-7827","issue":"1","journalAbbreviation":"Reprod Biol Endocrinol","language":"eng","note":"PMID: 33581723 \nPMCID: PMC7881587","page":"22","title":"Irisin deletion induces a decrease in growth and fertility in mice.","volume":"19","author":[{"family":"Luo","given":"Yunyao"},{"family":"Qiao","given":"Xiaoyong"},{"family":"Ma","given":"Yaxian"},{"family":"Deng","given":"Hongxia"},{"family":"Xu","given":"Charles C."},{"family":"Xu","given":"Liangzhi"}],"issued":{"date-parts":[["2021",2,13]]}}}],"schema":"https://github.com/citation-style-language/schema/raw/master/csl-citation.json"} </w:instrText>
            </w:r>
            <w:r w:rsidRPr="00D50FDC">
              <w:rPr>
                <w:rFonts w:ascii="Arial" w:eastAsia="Times New Roman" w:hAnsi="Arial" w:cs="Arial"/>
                <w:color w:val="000000"/>
                <w:sz w:val="18"/>
                <w:szCs w:val="18"/>
                <w:lang w:val="fr-FR"/>
              </w:rPr>
              <w:fldChar w:fldCharType="separate"/>
            </w:r>
            <w:r w:rsidR="001C71BD" w:rsidRPr="001C71BD">
              <w:rPr>
                <w:rFonts w:ascii="Arial" w:hAnsi="Arial" w:cs="Arial"/>
                <w:sz w:val="18"/>
              </w:rPr>
              <w:t>(22)</w:t>
            </w:r>
            <w:r w:rsidRPr="00D50FDC">
              <w:rPr>
                <w:rFonts w:ascii="Arial" w:eastAsia="Times New Roman" w:hAnsi="Arial" w:cs="Arial"/>
                <w:color w:val="000000"/>
                <w:sz w:val="18"/>
                <w:szCs w:val="18"/>
                <w:lang w:val="fr-FR"/>
              </w:rPr>
              <w:fldChar w:fldCharType="end"/>
            </w:r>
          </w:p>
        </w:tc>
        <w:tc>
          <w:tcPr>
            <w:tcW w:w="540" w:type="pct"/>
            <w:shd w:val="clear" w:color="auto" w:fill="auto"/>
            <w:noWrap/>
            <w:vAlign w:val="bottom"/>
            <w:hideMark/>
          </w:tcPr>
          <w:p w14:paraId="61C73FEF" w14:textId="77777777" w:rsidR="00BF211E" w:rsidRPr="00A23139" w:rsidRDefault="00BF211E" w:rsidP="00386B4F">
            <w:pPr>
              <w:spacing w:after="0" w:line="240" w:lineRule="auto"/>
              <w:jc w:val="right"/>
              <w:rPr>
                <w:rFonts w:ascii="Arial" w:eastAsia="Times New Roman" w:hAnsi="Arial" w:cs="Arial"/>
                <w:color w:val="000000"/>
                <w:sz w:val="18"/>
                <w:szCs w:val="18"/>
              </w:rPr>
            </w:pPr>
            <w:r w:rsidRPr="00A23139">
              <w:rPr>
                <w:rFonts w:ascii="Arial" w:hAnsi="Arial" w:cs="Arial"/>
                <w:color w:val="000000"/>
                <w:sz w:val="18"/>
                <w:szCs w:val="18"/>
              </w:rPr>
              <w:t>1.79</w:t>
            </w:r>
          </w:p>
        </w:tc>
        <w:tc>
          <w:tcPr>
            <w:tcW w:w="720" w:type="pct"/>
            <w:vAlign w:val="bottom"/>
          </w:tcPr>
          <w:p w14:paraId="33EC9216" w14:textId="3E11DFDB" w:rsidR="00BF211E" w:rsidRPr="00EB5F70" w:rsidRDefault="00BF211E" w:rsidP="00386B4F">
            <w:pPr>
              <w:spacing w:after="0" w:line="240" w:lineRule="auto"/>
              <w:rPr>
                <w:rFonts w:ascii="Arial" w:eastAsia="Times New Roman" w:hAnsi="Arial" w:cs="Arial"/>
                <w:color w:val="000000"/>
                <w:sz w:val="18"/>
                <w:szCs w:val="18"/>
                <w:lang w:val="fr-FR"/>
              </w:rPr>
            </w:pPr>
            <w:r w:rsidRPr="00EB5F70">
              <w:rPr>
                <w:rFonts w:ascii="Arial" w:hAnsi="Arial" w:cs="Arial"/>
                <w:color w:val="000000"/>
                <w:sz w:val="18"/>
                <w:szCs w:val="18"/>
              </w:rPr>
              <w:t xml:space="preserve">Grem1 </w:t>
            </w:r>
            <w:r w:rsidRPr="00EB5F70">
              <w:rPr>
                <w:rFonts w:ascii="Arial" w:eastAsia="Times New Roman" w:hAnsi="Arial" w:cs="Arial"/>
                <w:color w:val="000000"/>
                <w:sz w:val="18"/>
                <w:szCs w:val="18"/>
              </w:rPr>
              <w:fldChar w:fldCharType="begin"/>
            </w:r>
            <w:r w:rsidR="001C71BD">
              <w:rPr>
                <w:rFonts w:ascii="Arial" w:eastAsia="Times New Roman" w:hAnsi="Arial" w:cs="Arial"/>
                <w:color w:val="000000"/>
                <w:sz w:val="18"/>
                <w:szCs w:val="18"/>
              </w:rPr>
              <w:instrText xml:space="preserve"> ADDIN ZOTERO_ITEM CSL_CITATION {"citationID":"eEZ6dYfK","properties":{"formattedCitation":"(3)","plainCitation":"(3)","noteIndex":0},"citationItems":[{"id":54,"uris":["http://zotero.org/users/local/Cg9l0yK5/items/YKGGLU2B"],"itemData":{"id":54,"type":"article-journal","abstract":"Cumulus cells and mural granulosa cells (MGCs) have functionally distinct roles in antral follicles, and comparison of their transcriptomes at a global and systems  level can propel future studies on mechanisms underlying their functional diversity.  These cells were isolated from small and large antral follicles before and after  stimulation of immature mice with gonadotropins, respectively. Both cell types  underwent dramatic transcriptomic changes, and differences between them increased  with follicular growth. Although cumulus cells of both stages of follicular  development are competent to undergo expansion in vitro, they were otherwise  remarkably dissimilar with transcriptomic changes quantitatively equivalent to those  of MGCs. Gene ontology analysis revealed that cumulus cells of small follicles were  enriched in transcripts generally associated with catalytic components of metabolic  processes, while those from large follicles were involved in regulation of  metabolism, cell differentiation, and adhesion. Contrast of cumulus cells versus  MGCs revealed that cumulus cells were enriched in transcripts associated with  metabolism and cell proliferation while MGCs were enriched for transcripts involved  in cell signaling and differentiation. In vitro and in vivo models were used to test  the hypothesis that higher levels of transcripts in cumulus cells versus MGCs is the  result of stimulation by oocyte-derived paracrine factors (ODPFs). Surprisingly </w:instrText>
            </w:r>
            <w:r w:rsidR="001C71BD">
              <w:rPr>
                <w:rFonts w:ascii="Cambria Math" w:eastAsia="Times New Roman" w:hAnsi="Cambria Math" w:cs="Cambria Math"/>
                <w:color w:val="000000"/>
                <w:sz w:val="18"/>
                <w:szCs w:val="18"/>
              </w:rPr>
              <w:instrText>∼</w:instrText>
            </w:r>
            <w:r w:rsidR="001C71BD">
              <w:rPr>
                <w:rFonts w:ascii="Arial" w:eastAsia="Times New Roman" w:hAnsi="Arial" w:cs="Arial"/>
                <w:color w:val="000000"/>
                <w:sz w:val="18"/>
                <w:szCs w:val="18"/>
              </w:rPr>
              <w:instrText xml:space="preserve">48%  of transcripts higher in cumulus cells than MGCs were not stimulated by ODPFs. Those  stimulated by ODPFs were mainly associated with cell division, mRNA processing, or  the catalytic pathways of metabolism, while those not stimulated by ODPFs were  associated with regulatory processes such as signaling, transcription,  phosphorylation, or the regulation of metabolism.","container-title":"Biology of reproduction","DOI":"10.1095/biolreprod.114.121756","ISSN":"1529-7268 0006-3363","issue":"1","journalAbbreviation":"Biol Reprod","language":"eng","license":"© 2015 by the Society for the Study of Reproduction, Inc.","note":"PMID: 25376232 \nPMCID: PMC4434932","page":"23","title":"Transcriptomic diversification of developing cumulus and mural granulosa cells in mouse ovarian follicles.","volume":"92","author":[{"family":"Wigglesworth","given":"Karen"},{"family":"Lee","given":"Kyung-Bon"},{"family":"Emori","given":"Chihiro"},{"family":"Sugiura","given":"Koji"},{"family":"Eppig","given":"John J."}],"issued":{"date-parts":[["2015",1]]}}}],"schema":"https://github.com/citation-style-language/schema/raw/master/csl-citation.json"} </w:instrText>
            </w:r>
            <w:r w:rsidRPr="00EB5F70">
              <w:rPr>
                <w:rFonts w:ascii="Arial" w:eastAsia="Times New Roman" w:hAnsi="Arial" w:cs="Arial"/>
                <w:color w:val="000000"/>
                <w:sz w:val="18"/>
                <w:szCs w:val="18"/>
              </w:rPr>
              <w:fldChar w:fldCharType="separate"/>
            </w:r>
            <w:r w:rsidR="001C71BD" w:rsidRPr="001C71BD">
              <w:rPr>
                <w:rFonts w:ascii="Arial" w:hAnsi="Arial" w:cs="Arial"/>
                <w:sz w:val="18"/>
              </w:rPr>
              <w:t>(3)</w:t>
            </w:r>
            <w:r w:rsidRPr="00EB5F70">
              <w:rPr>
                <w:rFonts w:ascii="Arial" w:eastAsia="Times New Roman" w:hAnsi="Arial" w:cs="Arial"/>
                <w:color w:val="000000"/>
                <w:sz w:val="18"/>
                <w:szCs w:val="18"/>
              </w:rPr>
              <w:fldChar w:fldCharType="end"/>
            </w:r>
          </w:p>
        </w:tc>
        <w:tc>
          <w:tcPr>
            <w:tcW w:w="539" w:type="pct"/>
            <w:shd w:val="clear" w:color="auto" w:fill="auto"/>
            <w:noWrap/>
            <w:vAlign w:val="bottom"/>
            <w:hideMark/>
          </w:tcPr>
          <w:p w14:paraId="15AD1CCD" w14:textId="77777777" w:rsidR="00BF211E" w:rsidRPr="00EB5F70" w:rsidRDefault="00BF211E" w:rsidP="00386B4F">
            <w:pPr>
              <w:spacing w:after="0" w:line="240" w:lineRule="auto"/>
              <w:jc w:val="right"/>
              <w:rPr>
                <w:rFonts w:ascii="Arial" w:eastAsia="Times New Roman" w:hAnsi="Arial" w:cs="Arial"/>
                <w:color w:val="000000"/>
                <w:sz w:val="18"/>
                <w:szCs w:val="18"/>
              </w:rPr>
            </w:pPr>
            <w:r w:rsidRPr="00EB5F70">
              <w:rPr>
                <w:rFonts w:ascii="Arial" w:hAnsi="Arial" w:cs="Arial"/>
                <w:color w:val="000000"/>
                <w:sz w:val="18"/>
                <w:szCs w:val="18"/>
              </w:rPr>
              <w:t>1.54</w:t>
            </w:r>
          </w:p>
        </w:tc>
        <w:tc>
          <w:tcPr>
            <w:tcW w:w="578" w:type="pct"/>
            <w:vAlign w:val="bottom"/>
          </w:tcPr>
          <w:p w14:paraId="2D36B0E7" w14:textId="77777777" w:rsidR="00BF211E" w:rsidRPr="00A23139" w:rsidRDefault="00BF211E" w:rsidP="00386B4F">
            <w:pPr>
              <w:spacing w:after="0" w:line="240" w:lineRule="auto"/>
              <w:rPr>
                <w:rFonts w:ascii="Arial" w:eastAsia="Times New Roman" w:hAnsi="Arial" w:cs="Arial"/>
                <w:color w:val="000000"/>
                <w:sz w:val="18"/>
                <w:szCs w:val="18"/>
              </w:rPr>
            </w:pPr>
            <w:proofErr w:type="spellStart"/>
            <w:r w:rsidRPr="00A23139">
              <w:rPr>
                <w:rFonts w:ascii="Arial" w:hAnsi="Arial" w:cs="Arial"/>
                <w:color w:val="000000"/>
                <w:sz w:val="18"/>
                <w:szCs w:val="18"/>
              </w:rPr>
              <w:t>Ctgf</w:t>
            </w:r>
            <w:proofErr w:type="spellEnd"/>
          </w:p>
        </w:tc>
        <w:tc>
          <w:tcPr>
            <w:tcW w:w="539" w:type="pct"/>
            <w:shd w:val="clear" w:color="auto" w:fill="auto"/>
            <w:noWrap/>
            <w:vAlign w:val="bottom"/>
            <w:hideMark/>
          </w:tcPr>
          <w:p w14:paraId="262D4BE3" w14:textId="77777777" w:rsidR="00BF211E" w:rsidRPr="00A23139" w:rsidRDefault="00BF211E" w:rsidP="00386B4F">
            <w:pPr>
              <w:spacing w:after="0" w:line="240" w:lineRule="auto"/>
              <w:jc w:val="right"/>
              <w:rPr>
                <w:rFonts w:ascii="Arial" w:eastAsia="Times New Roman" w:hAnsi="Arial" w:cs="Arial"/>
                <w:color w:val="000000"/>
                <w:sz w:val="18"/>
                <w:szCs w:val="18"/>
              </w:rPr>
            </w:pPr>
            <w:r w:rsidRPr="00A23139">
              <w:rPr>
                <w:rFonts w:ascii="Arial" w:hAnsi="Arial" w:cs="Arial"/>
                <w:color w:val="000000"/>
                <w:sz w:val="18"/>
                <w:szCs w:val="18"/>
              </w:rPr>
              <w:t>1.51</w:t>
            </w:r>
          </w:p>
        </w:tc>
        <w:tc>
          <w:tcPr>
            <w:tcW w:w="741" w:type="pct"/>
            <w:vAlign w:val="bottom"/>
          </w:tcPr>
          <w:p w14:paraId="32C4FF42" w14:textId="6889E88A" w:rsidR="00BF211E" w:rsidRPr="0097360C" w:rsidRDefault="00BF211E" w:rsidP="00386B4F">
            <w:pPr>
              <w:spacing w:after="0" w:line="240" w:lineRule="auto"/>
              <w:rPr>
                <w:rFonts w:ascii="Arial" w:eastAsia="Times New Roman" w:hAnsi="Arial" w:cs="Arial"/>
                <w:color w:val="000000"/>
                <w:sz w:val="18"/>
                <w:szCs w:val="18"/>
                <w:lang w:val="fr-FR"/>
              </w:rPr>
            </w:pPr>
            <w:r>
              <w:rPr>
                <w:rFonts w:ascii="Calibri" w:hAnsi="Calibri" w:cs="Calibri"/>
                <w:color w:val="000000"/>
              </w:rPr>
              <w:t xml:space="preserve">Hmgb2 </w:t>
            </w:r>
            <w:r w:rsidRPr="00D50FDC">
              <w:rPr>
                <w:rFonts w:ascii="Arial" w:eastAsia="Times New Roman" w:hAnsi="Arial" w:cs="Arial"/>
                <w:color w:val="000000"/>
                <w:sz w:val="18"/>
                <w:szCs w:val="18"/>
              </w:rPr>
              <w:fldChar w:fldCharType="begin"/>
            </w:r>
            <w:r w:rsidR="001C71BD">
              <w:rPr>
                <w:rFonts w:ascii="Arial" w:eastAsia="Times New Roman" w:hAnsi="Arial" w:cs="Arial"/>
                <w:color w:val="000000"/>
                <w:sz w:val="18"/>
                <w:szCs w:val="18"/>
                <w:lang w:val="fr-FR"/>
              </w:rPr>
              <w:instrText xml:space="preserve"> ADDIN ZOTERO_ITEM CSL_CITATION {"citationID":"5yA1Qick","properties":{"formattedCitation":"(23)","plainCitation":"(23)","noteIndex":0},"citationItems":[{"id":284,"uris":["http://zotero.org/users/local/Cg9l0yK5/items/L9BINAMY"],"itemData":{"id":284,"type":"article-journal","abstract":"High mobility group box (HMGB) 1 and 2 are two abundant nonhistone nuclear proteins that have been found in association with chromatin. Previous studies based on  immunofluorescence analysis indicated that HMGB1 dissociates from chromosomes during  mitosis. In the present work, HMGB1 and 2 subcellular localization was  reinvestigated in living cells by using enhanced green fluorescent protein- and  Discosome sp. red fluorescent protein-tagged proteins. Contrary to previous reports,  HMGB1 and 2 were shown to be present under two forms in mitotic cells, i.e., free  and associated with the condensed chromatin, which rapidly exchange. A detailed  analysis of HMGB2 interaction with mitotic chromosomes indicated that two sites  encompassing HMG-box A and B are responsible for binding. Importantly, this  interaction was rapidly inactivated when cells were permeabilized or exposed to  chemical fixatives that are widely used in immunodetection techniques. A comparable  behavior was also observed for two proteins of the HMG-nucleosome binding (HMGN)  group, namely, HMGN1 and HMGN2.","container-title":"Molecular biology of the cell","DOI":"10.1091/mbc.e02-09-0581","ISSN":"1059-1524","issue":"8","journalAbbreviation":"Mol Biol Cell","language":"eng","note":"PMID: 12925773 \nPMCID: PMC181577","page":"3414-3426","title":"Association of chromatin proteins high mobility group box (HMGB) 1 and HMGB2 with mitotic chromosomes.","volume":"14","author":[{"family":"Pallier","given":"Coralie"},{"family":"Scaffidi","given":"Paola"},{"family":"Chopineau-Proust","given":"Stéphanie"},{"family":"Agresti","given":"Alessandra"},{"family":"Nordmann","given":"Patrice"},{"family":"Bianchi","given":"Marco E."},{"family":"Marechal","given":"Vincent"}],"issued":{"date-parts":[["2003",8]]}}}],"schema":"https://github.com/citation-style-language/schema/raw/master/csl-citation.json"} </w:instrText>
            </w:r>
            <w:r w:rsidRPr="00D50FDC">
              <w:rPr>
                <w:rFonts w:ascii="Arial" w:eastAsia="Times New Roman" w:hAnsi="Arial" w:cs="Arial"/>
                <w:color w:val="000000"/>
                <w:sz w:val="18"/>
                <w:szCs w:val="18"/>
              </w:rPr>
              <w:fldChar w:fldCharType="separate"/>
            </w:r>
            <w:r w:rsidR="001C71BD" w:rsidRPr="001C71BD">
              <w:rPr>
                <w:rFonts w:ascii="Arial" w:hAnsi="Arial" w:cs="Arial"/>
                <w:sz w:val="18"/>
              </w:rPr>
              <w:t>(23)</w:t>
            </w:r>
            <w:r w:rsidRPr="00D50FDC">
              <w:rPr>
                <w:rFonts w:ascii="Arial" w:eastAsia="Times New Roman" w:hAnsi="Arial" w:cs="Arial"/>
                <w:color w:val="000000"/>
                <w:sz w:val="18"/>
                <w:szCs w:val="18"/>
              </w:rPr>
              <w:fldChar w:fldCharType="end"/>
            </w:r>
          </w:p>
        </w:tc>
        <w:tc>
          <w:tcPr>
            <w:tcW w:w="539" w:type="pct"/>
            <w:shd w:val="clear" w:color="auto" w:fill="auto"/>
            <w:noWrap/>
            <w:vAlign w:val="bottom"/>
            <w:hideMark/>
          </w:tcPr>
          <w:p w14:paraId="4A815EDE" w14:textId="77777777" w:rsidR="00BF211E" w:rsidRPr="00EB5F70" w:rsidRDefault="00BF211E" w:rsidP="00386B4F">
            <w:pPr>
              <w:spacing w:after="0" w:line="240" w:lineRule="auto"/>
              <w:jc w:val="right"/>
              <w:rPr>
                <w:rFonts w:ascii="Arial" w:eastAsia="Times New Roman" w:hAnsi="Arial" w:cs="Arial"/>
                <w:color w:val="000000"/>
                <w:sz w:val="18"/>
                <w:szCs w:val="18"/>
              </w:rPr>
            </w:pPr>
            <w:r w:rsidRPr="00EB5F70">
              <w:rPr>
                <w:rFonts w:ascii="Arial" w:hAnsi="Arial" w:cs="Arial"/>
                <w:color w:val="000000"/>
                <w:sz w:val="18"/>
                <w:szCs w:val="18"/>
              </w:rPr>
              <w:t>1.85</w:t>
            </w:r>
          </w:p>
        </w:tc>
      </w:tr>
      <w:tr w:rsidR="00BF211E" w:rsidRPr="00D50FDC" w14:paraId="25E68873" w14:textId="77777777" w:rsidTr="00386B4F">
        <w:trPr>
          <w:trHeight w:val="290"/>
        </w:trPr>
        <w:tc>
          <w:tcPr>
            <w:tcW w:w="804" w:type="pct"/>
            <w:vAlign w:val="bottom"/>
          </w:tcPr>
          <w:p w14:paraId="77AC1CD0" w14:textId="5967479E" w:rsidR="00BF211E" w:rsidRPr="00C6017F" w:rsidRDefault="00BF211E" w:rsidP="00386B4F">
            <w:pPr>
              <w:spacing w:after="0" w:line="240" w:lineRule="auto"/>
              <w:rPr>
                <w:rFonts w:ascii="Arial" w:hAnsi="Arial" w:cs="Arial"/>
                <w:color w:val="000000"/>
                <w:sz w:val="18"/>
                <w:szCs w:val="18"/>
              </w:rPr>
            </w:pPr>
            <w:r w:rsidRPr="00C6017F">
              <w:rPr>
                <w:rFonts w:ascii="Arial" w:hAnsi="Arial" w:cs="Arial"/>
                <w:color w:val="000000"/>
                <w:sz w:val="18"/>
                <w:szCs w:val="18"/>
              </w:rPr>
              <w:t>Wt1</w:t>
            </w:r>
            <w:r>
              <w:rPr>
                <w:rFonts w:ascii="Arial" w:hAnsi="Arial" w:cs="Arial"/>
                <w:color w:val="000000"/>
                <w:sz w:val="18"/>
                <w:szCs w:val="18"/>
              </w:rPr>
              <w:t xml:space="preserve"> </w:t>
            </w:r>
            <w:r w:rsidRPr="00D50FDC">
              <w:rPr>
                <w:rFonts w:ascii="Arial" w:eastAsia="Times New Roman" w:hAnsi="Arial" w:cs="Arial"/>
                <w:color w:val="000000"/>
                <w:sz w:val="18"/>
                <w:szCs w:val="18"/>
                <w:lang w:val="fr-FR"/>
              </w:rPr>
              <w:fldChar w:fldCharType="begin"/>
            </w:r>
            <w:r w:rsidR="001C71BD">
              <w:rPr>
                <w:rFonts w:ascii="Arial" w:eastAsia="Times New Roman" w:hAnsi="Arial" w:cs="Arial"/>
                <w:color w:val="000000"/>
                <w:sz w:val="18"/>
                <w:szCs w:val="18"/>
                <w:lang w:val="fr-FR"/>
              </w:rPr>
              <w:instrText xml:space="preserve"> ADDIN ZOTERO_ITEM CSL_CITATION {"citationID":"d9oNRnfx","properties":{"formattedCitation":"(1,24\\uc0\\u8211{}27)","plainCitation":"(1,24–27)","noteIndex":0},"citationItems":[{"id":52,"uris":["http://zotero.org/users/local/Cg9l0yK5/items/JSQ8RRG4"],"itemData":{"id":52,"type":"article-journal","abstract":"Meiosis initiation is a crucial step for the production of haploid gametes, which occurs from anterior to posterior in fetal ovaries. The asynchrony of the transition  from mitosis to meiosis results in heterogeneity in the female germ cell  populations, which limits the studies of meiosis initiation and progression at a  higher resolution level. To dissect the process of meiosis initiation, we  investigated the transcriptional profiles of 19 363 single germ cells collected from  E12.5, E14.5, and E16.5 mouse fetal ovaries. Clustering analysis identified seven  groups and defined dozens of corresponding transcription factors, providing a global  view of cellular differentiation from primordial germ cells toward meiocytes.  Furthermore, we explored the dynamics of gene expression within the developmental  trajectory with special focus on the critical state of meiosis. We found that  meiosis initiation occurs as early as E12.5 and the cluster of oogonia_4 is the  critical state between mitosis and meiosis. Our data provide key insights into the  transcriptome features of peri-meiotic female germ cells, which offers new  information not only on meiosis initiation and progression but also on screening  pathogenic mutations in meiosis-associated diseases.","container-title":"FASEB journal : official publication of the Federation of American Societies for Experimental Biology","DOI":"10.1096/fj.202001034RR","ISSN":"1530-6860 0892-6638","issue":"9","journalAbbreviation":"FASEB J","language":"eng","license":"© 2020 Federation of American Societies for Experimental Biology.","note":"publisher-place: United States\nPMID: 32716582","page":"12634-12645","title":"Single-cell RNA sequencing reveals the landscape of early female germ cell development.","volume":"34","author":[{"family":"Zhao","given":"Zheng-Hui"},{"family":"Ma","given":"Jun-Yu"},{"family":"Meng","given":"Tie-Gang"},{"family":"Wang","given":"Zhen-Bo"},{"family":"Yue","given":"Wei"},{"family":"Zhou","given":"Qian"},{"family":"Li","given":"Sen"},{"family":"Feng","given":"Xie"},{"family":"Hou","given":"Yi"},{"family":"Schatten","given":"Heide"},{"family":"Ou","given":"Xiang-Hong"},{"family":"Sun","given":"Qing-Yuan"}],"issued":{"date-parts":[["2020",9]]}}},{"id":107,"uris":["http://zotero.org/users/local/Cg9l0yK5/items/QJGIPNB5"],"itemData":{"id":107,"type":"article-journal","abstract":"The ovary is perhaps the most dynamic organ in the human body, only rivaled by the uterus. The molecular mechanisms that regulate follicular growth and regression,  ensuring ovarian tissue homeostasis, remain elusive. We have performed single-cell  RNA-sequencing using human adult ovaries to provide a map of the molecular signature  of growing and regressing follicular populations. We have identified different types  of granulosa and theca cells and detected local production of components of the  complement system by (atretic) theca cells and stromal cells. We also have detected  a mixture of adaptive and innate immune cells, as well as several types of  endothelial and smooth muscle cells to aid the remodeling process. Our results  highlight the relevance of mapping whole adult organs at the single-cell level and  reflect ongoing efforts to map the human body. The association between complement  system and follicular remodeling may provide key insights in reproductive biology  and (in)fertility.","container-title":"Nature communications","DOI":"10.1038/s41467-019-11036-9","ISSN":"2041-1723","issue":"1","journalAbbreviation":"Nat Commun","language":"eng","note":"PMID: 31320652 \nPMCID: PMC6639403","page":"3164","title":"Single-cell reconstruction of follicular remodeling in the human adult ovary.","volume":"10","author":[{"family":"Fan","given":"X."},{"family":"Bialecka","given":"M."},{"family":"Moustakas","given":"I."},{"family":"Lam","given":"E."},{"family":"Torrens-Juaneda","given":"V."},{"family":"Borggreven","given":"N. V."},{"family":"Trouw","given":"L."},{"family":"Louwe","given":"L. A."},{"family":"Pilgram","given":"G. S. K."},{"family":"Mei","given":"H."},{"family":"Westerlaken","given":"L.","non-dropping-particle":"van der"},{"family":"Chuva de Sousa Lopes","given":"S. M."}],"issued":{"date-parts":[["2019",7,18]]}}},{"id":115,"uris":["http://zotero.org/users/local/Cg9l0yK5/items/LNL5G4YL"],"itemData":{"id":115,"type":"article-journal","abstract":"WT1 is a zinc finger protein with transcriptional repressor activity on several growth factor and growth factor receptor genes. In the ovary, a potential role for  WT1 in the suppression of the development of immature follicles has been  demonstrated. Here, gel retardation assays further showed that recombinant WT1  protein interacted with consensus DNA sequences in the inhibin-alpha gene promoter.  We investigated the pattern of WT1 expression in a wide variety of species and also  over the reproductive life span in rats. In chicken ovaries, Northern blot analysis  revealed the presence of WT1 transcript in small healthy white follicles (1-5 mm in  diameter) and its absence in small yellow (6-12 mm in diameter) or larger follicles  (F1-F5). In pig and monkey ovaries, WT1 expression was limited to granulosa cells of  preantral follicles, as shown by in situ hybridization analysis. In rats, Northern  blot analyses demonstrated the presence of WT1 transcript in the ovaries of young  (3-mo-old) and middle-aged (9-mo-old) rats on the proestrous day, with a decrease in  old (12-mo-old) rats in persistent estrus. In situ hybridization analysis further  suggested that the decrease in WT1 expression in aging ovaries was associated with  fewer immature follicles. Thus, WT1 expression is restricted to immature follicles  in diverse avian and mammalian species and over the reproductive life span in rats.  These data demonstrated that WT1 is a marker for immature follicles and suggested a  potential role of this transcriptional repressor in the slow growth of early  follicles.","container-title":"Biology of reproduction","DOI":"10.1095/biolreprod60.2.365","ISSN":"0006-3363","issue":"2","journalAbbreviation":"Biol Reprod","language":"eng","note":"publisher-place: United States\nPMID: 9916003","page":"365-373","title":"Restricted expression of WT1 messenger ribonucleic acid in immature ovarian follicles: uniformity in mammalian and avian species and maintenance during  reproductive senescence.","volume":"60","author":[{"family":"Chun","given":"S. Y."},{"family":"McGee","given":"E. A."},{"family":"Hsu","given":"S. Y."},{"family":"Minami","given":"S."},{"family":"LaPolt","given":"P. S."},{"family":"Yao","given":"H. H."},{"family":"Bahr","given":"J. M."},{"family":"Gougeon","given":"A."},{"family":"Schomberg","given":"D. W."},{"family":"Hsueh","given":"A. J."}],"issued":{"date-parts":[["1999",2]]}}},{"id":104,"uris":["http://zotero.org/users/local/Cg9l0yK5/items/C7IV5IIA"],"itemData":{"id":104,"type":"article-journal","abstract":"The Wt1 gene encodes a nuclear transcription factor that is specifically expressed in ovarian granulosa cells. However, the physiological significance of Wt1 in  ovarian follicle development remains elusive. In this study, we found that  Wt1(+/R394W) mice were grossly normal, however, the females displayed severe  reproductive defects. Only </w:instrText>
            </w:r>
            <w:r w:rsidR="001C71BD">
              <w:rPr>
                <w:rFonts w:ascii="Cambria Math" w:eastAsia="Times New Roman" w:hAnsi="Cambria Math" w:cs="Cambria Math"/>
                <w:color w:val="000000"/>
                <w:sz w:val="18"/>
                <w:szCs w:val="18"/>
                <w:lang w:val="fr-FR"/>
              </w:rPr>
              <w:instrText>∼</w:instrText>
            </w:r>
            <w:r w:rsidR="001C71BD">
              <w:rPr>
                <w:rFonts w:ascii="Arial" w:eastAsia="Times New Roman" w:hAnsi="Arial" w:cs="Arial"/>
                <w:color w:val="000000"/>
                <w:sz w:val="18"/>
                <w:szCs w:val="18"/>
                <w:lang w:val="fr-FR"/>
              </w:rPr>
              <w:instrText xml:space="preserve">15% of the Wt1(+/R394W) females became pregnant after  mating with wild-type males, compared with 88.2% of control females. Further study  revealed that the subfertility of Wt1(+/R394W) females was caused by aberrant  ovarian follicle development. Compared with control females, the ovary size and the  number of developing follicles was significantly decreased in Wt1 mutant ovaries  which was very similar to premature ovarian failure (POF) in human patients. The  results of in vitro studies demonstrated that the expression of follicle stimulating  hormone receptor (FSHR), 3β-hydroxysteroid dehydrogenase and Aromatase was inhibited  by Wt1 in granulosa cells, and mutation of Wt1 resulted in the upregulation of these  genes and in the premature differentiation of granulosa cells. We also found that  Wt1 was likely involved in granulosa cell development via the regulation of  E-cadherin and Par6b expression. Mutation in Wt1 caused defects in polarity  establishment in granulosa cells, which also likely contributed to the observed  aberrant follicle development. The results of this study provide new mechanisms for  understanding the regulation of ovarian follicle development and potential  pathological cause of POF in human patients.","container-title":"Human molecular genetics","DOI":"10.1093/hmg/ddt423","ISSN":"1460-2083 0964-6906","issue":"2","journalAbbreviation":"Hum Mol Genet","language":"eng","note":"publisher-place: England\nPMID: 24009315","page":"333-341","title":"Wt1 functions in ovarian follicle development by regulating granulosa cell differentiation.","volume":"23","author":[{"family":"Gao","given":"Fei"},{"family":"Zhang","given":"Jun"},{"family":"Wang","given":"Xiaona"},{"family":"Yang","given":"Junling"},{"family":"Chen","given":"Dahua"},{"family":"Huff","given":"Vicki"},{"family":"Liu","given":"Yi-Xun"}],"issued":{"date-parts":[["2014",1,15]]}}},{"id":71,"uris":["http://zotero.org/users/local/Cg9l0yK5/items/HSUQ6JHR"],"itemData":{"id":71,"type":"article-journal","abstract":"BACKGROUND: The important role of WT1 in early folliculogenesis was evident from its restricted expression pattern in immature follicles and from its involvement in  transcriptional control of inhibin-α and FSH receptor. There is also considerable  evidence that WT1 is a potent inhibitor of apoptotic cell death in the developing  kidney and male germ cells, suggesting that it could play a role in the regulation  of follicle survival. Therefore, we evaluated if WT1 involves in cell survival of  granulosa cells (GCs) during the FSH-independent stage. METHODS: GCs were obtained  from small preantral follicles of immature rat ovary. Bax and bcl-2 mRNA and protein  levels in GCs transfected with WT1 (-KTS) or WT1 (+KTS) were analyzed by Real-time  RT-PCR and immune-blotting analysis. Cell viability was measured with MTT assays and  apoptosis was analyzed with caspase 3/7 activity and TUNEL assay. The mechanism by  which WT1 regulates Bax expression was investigated using Bax promoter-luciferase  reporter assay and ChIP assays from GCs. RESULTS: Here, we showed that WT1 (-KTS)  suppressed endogenous Bax transcript and protein expression, and this inhibition  resulted from direct binding of WT1 in the Bax promoter region in vivo. In addition,  anti-apoptotic effects of WT1 (-KTS) were demonstrated based on MTT assays, a  sensitive bioluminescence caspase 3/7 assay and TUNEL assays. On the other hand, WT1  has no role on bcl-2 expression in GCs. CONCLUSION: These findings suggest that  activation of WT1 is necessary for maintenance of GC survival during early stage of  follicles and WT1 can play a role in protecting apoptosis through the regulation of  upstream activator (Bax), as well as through regulation of downstream effecter  (caspases 3 and 7).","container-title":"Journal of ovarian research","DOI":"10.1186/s13048-014-0118-y","ISSN":"1757-2215","journalAbbreviation":"J Ovarian Res","language":"eng","note":"PMID: 25491731 \nPMCID: PMC4279686","page":"118","title":"Wilms' tumor suppressor gene (WT1) suppresses apoptosis by transcriptionally downregulating BAX expression in immature rat granulosa cells.","volume":"7","author":[{"family":"Park","given":"Minji"},{"family":"Choi","given":"Yuri"},{"family":"Choi","given":"Hyeonhae"},{"family":"Roh","given":"Jaesook"}],"issued":{"date-parts":[["2014",12,10]]}}}],"schema":"https://github.com/citation-style-language/schema/raw/master/csl-citation.json"} </w:instrText>
            </w:r>
            <w:r w:rsidRPr="00D50FDC">
              <w:rPr>
                <w:rFonts w:ascii="Arial" w:eastAsia="Times New Roman" w:hAnsi="Arial" w:cs="Arial"/>
                <w:color w:val="000000"/>
                <w:sz w:val="18"/>
                <w:szCs w:val="18"/>
                <w:lang w:val="fr-FR"/>
              </w:rPr>
              <w:fldChar w:fldCharType="separate"/>
            </w:r>
            <w:r w:rsidR="001C71BD" w:rsidRPr="001C71BD">
              <w:rPr>
                <w:rFonts w:ascii="Arial" w:hAnsi="Arial" w:cs="Arial"/>
                <w:sz w:val="18"/>
                <w:szCs w:val="24"/>
              </w:rPr>
              <w:t>(1,24–27)</w:t>
            </w:r>
            <w:r w:rsidRPr="00D50FDC">
              <w:rPr>
                <w:rFonts w:ascii="Arial" w:eastAsia="Times New Roman" w:hAnsi="Arial" w:cs="Arial"/>
                <w:color w:val="000000"/>
                <w:sz w:val="18"/>
                <w:szCs w:val="18"/>
                <w:lang w:val="fr-FR"/>
              </w:rPr>
              <w:fldChar w:fldCharType="end"/>
            </w:r>
          </w:p>
        </w:tc>
        <w:tc>
          <w:tcPr>
            <w:tcW w:w="540" w:type="pct"/>
            <w:shd w:val="clear" w:color="auto" w:fill="auto"/>
            <w:noWrap/>
            <w:vAlign w:val="bottom"/>
            <w:hideMark/>
          </w:tcPr>
          <w:p w14:paraId="20DA426A" w14:textId="77777777" w:rsidR="00BF211E" w:rsidRPr="00A23139" w:rsidRDefault="00BF211E" w:rsidP="00386B4F">
            <w:pPr>
              <w:spacing w:after="0" w:line="240" w:lineRule="auto"/>
              <w:jc w:val="right"/>
              <w:rPr>
                <w:rFonts w:ascii="Arial" w:eastAsia="Times New Roman" w:hAnsi="Arial" w:cs="Arial"/>
                <w:color w:val="000000"/>
                <w:sz w:val="18"/>
                <w:szCs w:val="18"/>
              </w:rPr>
            </w:pPr>
            <w:r w:rsidRPr="00A23139">
              <w:rPr>
                <w:rFonts w:ascii="Arial" w:hAnsi="Arial" w:cs="Arial"/>
                <w:color w:val="000000"/>
                <w:sz w:val="18"/>
                <w:szCs w:val="18"/>
              </w:rPr>
              <w:t>1.78</w:t>
            </w:r>
          </w:p>
        </w:tc>
        <w:tc>
          <w:tcPr>
            <w:tcW w:w="720" w:type="pct"/>
            <w:vAlign w:val="bottom"/>
          </w:tcPr>
          <w:p w14:paraId="703290E1" w14:textId="77777777" w:rsidR="00BF211E" w:rsidRPr="00EB5F70" w:rsidRDefault="00BF211E" w:rsidP="00386B4F">
            <w:pPr>
              <w:spacing w:after="0" w:line="240" w:lineRule="auto"/>
              <w:rPr>
                <w:rFonts w:ascii="Arial" w:eastAsia="Times New Roman" w:hAnsi="Arial" w:cs="Arial"/>
                <w:color w:val="000000"/>
                <w:sz w:val="18"/>
                <w:szCs w:val="18"/>
              </w:rPr>
            </w:pPr>
            <w:r w:rsidRPr="00EB5F70">
              <w:rPr>
                <w:rFonts w:ascii="Arial" w:hAnsi="Arial" w:cs="Arial"/>
                <w:color w:val="000000"/>
                <w:sz w:val="18"/>
                <w:szCs w:val="18"/>
              </w:rPr>
              <w:t>X1110032F04Rik</w:t>
            </w:r>
          </w:p>
        </w:tc>
        <w:tc>
          <w:tcPr>
            <w:tcW w:w="539" w:type="pct"/>
            <w:shd w:val="clear" w:color="auto" w:fill="auto"/>
            <w:noWrap/>
            <w:vAlign w:val="bottom"/>
            <w:hideMark/>
          </w:tcPr>
          <w:p w14:paraId="5EED06AA" w14:textId="77777777" w:rsidR="00BF211E" w:rsidRPr="00EB5F70" w:rsidRDefault="00BF211E" w:rsidP="00386B4F">
            <w:pPr>
              <w:spacing w:after="0" w:line="240" w:lineRule="auto"/>
              <w:jc w:val="right"/>
              <w:rPr>
                <w:rFonts w:ascii="Arial" w:eastAsia="Times New Roman" w:hAnsi="Arial" w:cs="Arial"/>
                <w:color w:val="000000"/>
                <w:sz w:val="18"/>
                <w:szCs w:val="18"/>
              </w:rPr>
            </w:pPr>
            <w:r w:rsidRPr="00EB5F70">
              <w:rPr>
                <w:rFonts w:ascii="Arial" w:hAnsi="Arial" w:cs="Arial"/>
                <w:color w:val="000000"/>
                <w:sz w:val="18"/>
                <w:szCs w:val="18"/>
              </w:rPr>
              <w:t>1.53</w:t>
            </w:r>
          </w:p>
        </w:tc>
        <w:tc>
          <w:tcPr>
            <w:tcW w:w="578" w:type="pct"/>
            <w:vAlign w:val="bottom"/>
          </w:tcPr>
          <w:p w14:paraId="46259C92" w14:textId="182069C2" w:rsidR="00BF211E" w:rsidRPr="00A23139" w:rsidRDefault="00BF211E" w:rsidP="00386B4F">
            <w:pPr>
              <w:spacing w:after="0" w:line="240" w:lineRule="auto"/>
              <w:rPr>
                <w:rFonts w:ascii="Arial" w:eastAsia="Times New Roman" w:hAnsi="Arial" w:cs="Arial"/>
                <w:color w:val="000000"/>
                <w:sz w:val="18"/>
                <w:szCs w:val="18"/>
              </w:rPr>
            </w:pPr>
            <w:r w:rsidRPr="00A23139">
              <w:rPr>
                <w:rFonts w:ascii="Arial" w:hAnsi="Arial" w:cs="Arial"/>
                <w:color w:val="000000"/>
                <w:sz w:val="18"/>
                <w:szCs w:val="18"/>
              </w:rPr>
              <w:t xml:space="preserve">Ntn4 </w:t>
            </w:r>
            <w:r w:rsidRPr="00A23139">
              <w:rPr>
                <w:rFonts w:ascii="Arial" w:eastAsia="Times New Roman" w:hAnsi="Arial" w:cs="Arial"/>
                <w:color w:val="000000"/>
                <w:sz w:val="18"/>
                <w:szCs w:val="18"/>
              </w:rPr>
              <w:fldChar w:fldCharType="begin"/>
            </w:r>
            <w:r w:rsidR="001C71BD">
              <w:rPr>
                <w:rFonts w:ascii="Arial" w:eastAsia="Times New Roman" w:hAnsi="Arial" w:cs="Arial"/>
                <w:color w:val="000000"/>
                <w:sz w:val="18"/>
                <w:szCs w:val="18"/>
                <w:lang w:val="fr-FR"/>
              </w:rPr>
              <w:instrText xml:space="preserve"> ADDIN ZOTERO_ITEM CSL_CITATION {"citationID":"W1fgOUpy","properties":{"formattedCitation":"(13)","plainCitation":"(13)","noteIndex":0},"citationItems":[{"id":95,"uris":["http://zotero.org/users/local/Cg9l0yK5/items/C47RTVGE"],"itemData":{"id":95,"type":"article-journal","abstract":"The theca interna is a specialized stromal layer that envelops each growing ovarian follicle. It contains capillaries, fibroblasts, immune cells and the steroidogenic  cells that synthesize androgens for conversion to estradiol by the neighboring  granulosa cells. During reproductive life only a small number of follicles will grow  to a sufficient size to ovulate, whereas the majority of follicles will undergo  regression/atresia and phagocytosis by macrophages. To identify genes which are  differentially regulated in the theca interna during follicular atresia, we  undertook transcriptome profiling of the theca interna from healthy (n = 10) and  antral atretic (n = 5) bovine follicles at early antral stages (&lt;5 mm). Principal  Component Analyses and hierarchical classification of the signal intensity plots for  the arrays showed primary clustering into two groups, healthy and atretic. A total  of 543 probe sets were differentially expressed between the atretic and healthy  theca interna. Further analyses of these genes by Ingenuity Pathway Analysis and  Gene Ontology Enrichment Analysis Toolkit software found most of the genes being  expressed were related to cytokines, hormones and receptors as well as the cell  cycle and DNA replication. Cell cycle genes which encode components of the  replicating chromosome complex and mitotic spindle were down-regulated in atretic  theca interna, whereas stress response and inflammation-related genes such as TP53,  IKBKB and TGFB1 were up-regulated. In addition to cell cycle regulators, upstream  regulators that were predicted to be inhibited included Retinoblastoma 1, E2  transcription factor 1, and hepatocyte growth factor. Our study suggests that during  antral atresia of small follicles in the theca interna, arrest of cell cycle and DNA  replication occurs rather than up- regulation of apoptosis-associated genes as  occurs in granulosa cells.","container-title":"PloS one","DOI":"10.1371/journal.pone.0099706","ISSN":"1932-6203","issue":"6","journalAbbreviation":"PLoS One","language":"eng","note":"PMID: 24956388 \nPMCID: PMC4067288","page":"e99706","title":"Transcriptome profiling of the theca interna from bovine ovarian follicles during atresia.","volume":"9","author":[{"family":"Hatzirodos","given":"Nicholas"},{"family":"Irving-Rodgers","given":"Helen F."},{"family":"Hummitzsch","given":"Katja"},{"family":"Rodgers","given":"Raymond J."}],"issued":{"date-parts":[["2014"]]}}}],"schema":"https://github.com/citation-style-language/schema/raw/master/csl-citation.json"} </w:instrText>
            </w:r>
            <w:r w:rsidRPr="00A23139">
              <w:rPr>
                <w:rFonts w:ascii="Arial" w:eastAsia="Times New Roman" w:hAnsi="Arial" w:cs="Arial"/>
                <w:color w:val="000000"/>
                <w:sz w:val="18"/>
                <w:szCs w:val="18"/>
              </w:rPr>
              <w:fldChar w:fldCharType="separate"/>
            </w:r>
            <w:r w:rsidR="001C71BD" w:rsidRPr="001C71BD">
              <w:rPr>
                <w:rFonts w:ascii="Arial" w:hAnsi="Arial" w:cs="Arial"/>
                <w:sz w:val="18"/>
              </w:rPr>
              <w:t>(13)</w:t>
            </w:r>
            <w:r w:rsidRPr="00A23139">
              <w:rPr>
                <w:rFonts w:ascii="Arial" w:eastAsia="Times New Roman" w:hAnsi="Arial" w:cs="Arial"/>
                <w:color w:val="000000"/>
                <w:sz w:val="18"/>
                <w:szCs w:val="18"/>
              </w:rPr>
              <w:fldChar w:fldCharType="end"/>
            </w:r>
          </w:p>
        </w:tc>
        <w:tc>
          <w:tcPr>
            <w:tcW w:w="539" w:type="pct"/>
            <w:shd w:val="clear" w:color="auto" w:fill="auto"/>
            <w:noWrap/>
            <w:vAlign w:val="bottom"/>
            <w:hideMark/>
          </w:tcPr>
          <w:p w14:paraId="2BF46DB3" w14:textId="77777777" w:rsidR="00BF211E" w:rsidRPr="00A23139" w:rsidRDefault="00BF211E" w:rsidP="00386B4F">
            <w:pPr>
              <w:spacing w:after="0" w:line="240" w:lineRule="auto"/>
              <w:jc w:val="right"/>
              <w:rPr>
                <w:rFonts w:ascii="Arial" w:eastAsia="Times New Roman" w:hAnsi="Arial" w:cs="Arial"/>
                <w:color w:val="000000"/>
                <w:sz w:val="18"/>
                <w:szCs w:val="18"/>
              </w:rPr>
            </w:pPr>
            <w:r w:rsidRPr="00A23139">
              <w:rPr>
                <w:rFonts w:ascii="Arial" w:hAnsi="Arial" w:cs="Arial"/>
                <w:color w:val="000000"/>
                <w:sz w:val="18"/>
                <w:szCs w:val="18"/>
              </w:rPr>
              <w:t>1.51</w:t>
            </w:r>
          </w:p>
        </w:tc>
        <w:tc>
          <w:tcPr>
            <w:tcW w:w="741" w:type="pct"/>
            <w:vAlign w:val="bottom"/>
          </w:tcPr>
          <w:p w14:paraId="5B212BA4" w14:textId="13082E1A" w:rsidR="00BF211E" w:rsidRPr="0097360C" w:rsidRDefault="00BF211E" w:rsidP="00386B4F">
            <w:pPr>
              <w:spacing w:after="0" w:line="240" w:lineRule="auto"/>
              <w:rPr>
                <w:rFonts w:ascii="Arial" w:eastAsia="Times New Roman" w:hAnsi="Arial" w:cs="Arial"/>
                <w:color w:val="000000"/>
                <w:sz w:val="18"/>
                <w:szCs w:val="18"/>
                <w:lang w:val="fr-FR"/>
              </w:rPr>
            </w:pPr>
            <w:r>
              <w:rPr>
                <w:rFonts w:ascii="Calibri" w:hAnsi="Calibri" w:cs="Calibri"/>
                <w:color w:val="000000"/>
              </w:rPr>
              <w:t xml:space="preserve">Cdca8 </w:t>
            </w:r>
            <w:r w:rsidRPr="00D50FDC">
              <w:rPr>
                <w:rFonts w:ascii="Arial" w:eastAsia="Times New Roman" w:hAnsi="Arial" w:cs="Arial"/>
                <w:color w:val="000000"/>
                <w:sz w:val="18"/>
                <w:szCs w:val="18"/>
                <w:lang w:val="fr-FR"/>
              </w:rPr>
              <w:fldChar w:fldCharType="begin"/>
            </w:r>
            <w:r w:rsidR="001C71BD">
              <w:rPr>
                <w:rFonts w:ascii="Arial" w:eastAsia="Times New Roman" w:hAnsi="Arial" w:cs="Arial"/>
                <w:color w:val="000000"/>
                <w:sz w:val="18"/>
                <w:szCs w:val="18"/>
                <w:lang w:val="fr-FR"/>
              </w:rPr>
              <w:instrText xml:space="preserve"> ADDIN ZOTERO_ITEM CSL_CITATION {"citationID":"QET4PCFm","properties":{"formattedCitation":"(28)","plainCitation":"(28)","noteIndex":0},"citationItems":[{"id":291,"uris":["http://zotero.org/users/local/Cg9l0yK5/items/A7ADMUXF"],"itemData":{"id":291,"type":"article-journal","abstract":"The chromosomal passenger complex of Aurora B kinase, INCENP, and Survivin has essential regulatory roles at centromeres and the central spindle in mitosis. Here,  we describe Borealin, a novel member of the complex. Approximately half of Aurora B  in mitotic cells is complexed with INCENP, Borealin, and Survivin; and Borealin  binds Survivin and INCENP in vitro. A second complex contains Aurora B and INCENP,  but no Borealin or Survivin. Depletion of Borealin by RNA interference delays  mitotic progression and results in kinetochore-spindle misattachments and an  increase in bipolar spindles associated with ectopic asters. The extra poles, which  apparently form after chromosomes achieve a bipolar orientation, severely disrupt  the partitioning of chromosomes in anaphase. Borealin depletion has little effect on  histone H3 serine10 phosphorylation. These results implicate the chromosomal  passenger holocomplex in the maintenance of spindle integrity and suggest that  histone H3 serine10 phosphorylation is performed by an Aurora B-INCENP subcomplex.","container-title":"The Journal of cell biology","DOI":"10.1083/jcb.200404001","ISSN":"0021-9525 1540-8140","issue":"2","journalAbbreviation":"J Cell Biol","language":"eng","license":"Copyright The Rockerfeller University Press","note":"PMID: 15249581 \nPMCID: PMC2172304","page":"179-191","title":"Borealin: a novel chromosomal passenger required for stability of the bipolar mitotic spindle.","volume":"166","author":[{"family":"Gassmann","given":"Reto"},{"family":"Carvalho","given":"Ana"},{"family":"Henzing","given":"Alexander J."},{"family":"Ruchaud","given":"Sandrine"},{"family":"Hudson","given":"Damien F."},{"family":"Honda","given":"Reiko"},{"family":"Nigg","given":"Erich A."},{"family":"Gerloff","given":"Dietlind L."},{"family":"Earnshaw","given":"William C."}],"issued":{"date-parts":[["2004",7,19]]}}}],"schema":"https://github.com/citation-style-language/schema/raw/master/csl-citation.json"} </w:instrText>
            </w:r>
            <w:r w:rsidRPr="00D50FDC">
              <w:rPr>
                <w:rFonts w:ascii="Arial" w:eastAsia="Times New Roman" w:hAnsi="Arial" w:cs="Arial"/>
                <w:color w:val="000000"/>
                <w:sz w:val="18"/>
                <w:szCs w:val="18"/>
                <w:lang w:val="fr-FR"/>
              </w:rPr>
              <w:fldChar w:fldCharType="separate"/>
            </w:r>
            <w:r w:rsidR="001C71BD" w:rsidRPr="001C71BD">
              <w:rPr>
                <w:rFonts w:ascii="Arial" w:hAnsi="Arial" w:cs="Arial"/>
                <w:sz w:val="18"/>
              </w:rPr>
              <w:t>(28)</w:t>
            </w:r>
            <w:r w:rsidRPr="00D50FDC">
              <w:rPr>
                <w:rFonts w:ascii="Arial" w:eastAsia="Times New Roman" w:hAnsi="Arial" w:cs="Arial"/>
                <w:color w:val="000000"/>
                <w:sz w:val="18"/>
                <w:szCs w:val="18"/>
                <w:lang w:val="fr-FR"/>
              </w:rPr>
              <w:fldChar w:fldCharType="end"/>
            </w:r>
          </w:p>
        </w:tc>
        <w:tc>
          <w:tcPr>
            <w:tcW w:w="539" w:type="pct"/>
            <w:shd w:val="clear" w:color="auto" w:fill="auto"/>
            <w:noWrap/>
            <w:vAlign w:val="bottom"/>
            <w:hideMark/>
          </w:tcPr>
          <w:p w14:paraId="22941496" w14:textId="77777777" w:rsidR="00BF211E" w:rsidRPr="00EB5F70" w:rsidRDefault="00BF211E" w:rsidP="00386B4F">
            <w:pPr>
              <w:spacing w:after="0" w:line="240" w:lineRule="auto"/>
              <w:jc w:val="right"/>
              <w:rPr>
                <w:rFonts w:ascii="Arial" w:eastAsia="Times New Roman" w:hAnsi="Arial" w:cs="Arial"/>
                <w:color w:val="000000"/>
                <w:sz w:val="18"/>
                <w:szCs w:val="18"/>
              </w:rPr>
            </w:pPr>
            <w:r w:rsidRPr="00EB5F70">
              <w:rPr>
                <w:rFonts w:ascii="Arial" w:hAnsi="Arial" w:cs="Arial"/>
                <w:color w:val="000000"/>
                <w:sz w:val="18"/>
                <w:szCs w:val="18"/>
              </w:rPr>
              <w:t>1.81</w:t>
            </w:r>
          </w:p>
        </w:tc>
      </w:tr>
      <w:tr w:rsidR="00BF211E" w:rsidRPr="001C71BD" w14:paraId="0ED14349" w14:textId="77777777" w:rsidTr="00386B4F">
        <w:trPr>
          <w:trHeight w:val="290"/>
        </w:trPr>
        <w:tc>
          <w:tcPr>
            <w:tcW w:w="804" w:type="pct"/>
            <w:vAlign w:val="bottom"/>
          </w:tcPr>
          <w:p w14:paraId="180D61F8" w14:textId="0E086AEB" w:rsidR="00BF211E" w:rsidRPr="00C6017F" w:rsidRDefault="00BF211E" w:rsidP="00386B4F">
            <w:pPr>
              <w:spacing w:after="0" w:line="240" w:lineRule="auto"/>
              <w:rPr>
                <w:rFonts w:ascii="Arial" w:hAnsi="Arial" w:cs="Arial"/>
                <w:color w:val="000000"/>
                <w:sz w:val="18"/>
                <w:szCs w:val="18"/>
              </w:rPr>
            </w:pPr>
            <w:r w:rsidRPr="00C6017F">
              <w:rPr>
                <w:rFonts w:ascii="Arial" w:hAnsi="Arial" w:cs="Arial"/>
                <w:color w:val="000000"/>
                <w:sz w:val="18"/>
                <w:szCs w:val="18"/>
              </w:rPr>
              <w:t>Tmem184a</w:t>
            </w:r>
            <w:r>
              <w:rPr>
                <w:rFonts w:ascii="Arial" w:hAnsi="Arial" w:cs="Arial"/>
                <w:color w:val="000000"/>
                <w:sz w:val="18"/>
                <w:szCs w:val="18"/>
              </w:rPr>
              <w:t xml:space="preserve"> </w:t>
            </w:r>
            <w:r w:rsidRPr="00D50FDC">
              <w:rPr>
                <w:rFonts w:ascii="Arial" w:eastAsia="Times New Roman" w:hAnsi="Arial" w:cs="Arial"/>
                <w:color w:val="000000"/>
                <w:sz w:val="18"/>
                <w:szCs w:val="18"/>
                <w:lang w:val="fr-FR"/>
              </w:rPr>
              <w:fldChar w:fldCharType="begin"/>
            </w:r>
            <w:r w:rsidR="001C71BD">
              <w:rPr>
                <w:rFonts w:ascii="Arial" w:eastAsia="Times New Roman" w:hAnsi="Arial" w:cs="Arial"/>
                <w:color w:val="000000"/>
                <w:sz w:val="18"/>
                <w:szCs w:val="18"/>
              </w:rPr>
              <w:instrText xml:space="preserve"> ADDIN ZOTERO_ITEM CSL_CITATION {"citationID":"TR31mcG7","properties":{"formattedCitation":"(5)","plainCitation":"(5)","noteIndex":0},"citationItems":[{"id":3,"uris":["http://zotero.org/users/local/Cg9l0yK5/items/4RLJS23F"],"itemData":{"id":3,"type":"article-journal","abstract":"Müllerian inhibiting substance (MIS/AMH), produced by granulosa cells of growing follicles, is an important regulator of folliculogenesis and follicle development.  Treatment with exogenous MIS in mice suppresses follicle development and prevents  ovulation. To investigate the mechanisms by which MIS inhibits follicle development,  we performed single-cell RNA sequencing of whole neonatal ovaries treated with MIS  at birth and analyzed at postnatal day 6, coinciding with the first wave of follicle  growth. We identified distinct transcriptional signatures associated with MIS  responses in the ovarian cell types. MIS treatment inhibited proliferation in  granulosa, surface epithelial, and stromal cell types of the ovary and elicited a  unique signature of quiescence in granulosa cells. In addition to decreasing the  number of growing preantral follicles, we found that MIS treatment uncoupled the  maturation of germ cells and granulosa cells. In conclusion, MIS suppressed neonatal  follicle development by inhibiting proliferation, imposing a quiescent cell state,  and preventing granulosa cell differentiation.","container-title":"Proceedings of the National Academy of Sciences of the United States of America","DOI":"10.1073/pnas.2100920118","ISSN":"1091-6490 0027-8424","issue":"20","journalAbbreviation":"Proc Natl Acad Sci U S A","language":"eng","license":"Copyright © 2021 the Author(s). Published by PNAS.","note":"PMID: 33980714 \nPMCID: PMC8157966","title":"Single-cell sequencing reveals suppressive transcriptional programs regulated by MIS/AMH in neonatal ovaries.","volume":"118","author":[{"family":"Meinsohn","given":"Marie-Charlotte"},{"family":"Saatcioglu","given":"Hatice D."},{"family":"Wei","given":"Lina"},{"family":"Li","given":"Yi"},{"family":"Horn","given":"Heiko"},{"family":"Chauvin","given":"Maeva"},{"family":"Kano","given":"Motohiro"},{"family":"Nguyen","given":"Ngoc Minh Phuong"},{"family":"Nagykery","given":"Nicholas"},{"family":"Kashiwagi","given":"Aki"},{"family":"Samore","given":"Wesley R."},{"family":"Wang","given":"Dan"},{"family":"Oliva","given":"Esther"},{"family":"Gao","given":"Guangping"},{"family":"Morris","given":"Mary E."},{"family":"Donahoe","given":"Patricia K."},{"family":"Pépin","given":"David"}],"issued":{"date-parts":[["2021",5,18]]}}}],"schema":"https://github.com/citation-style-language/schema/raw/master/csl-citation.json"} </w:instrText>
            </w:r>
            <w:r w:rsidRPr="00D50FDC">
              <w:rPr>
                <w:rFonts w:ascii="Arial" w:eastAsia="Times New Roman" w:hAnsi="Arial" w:cs="Arial"/>
                <w:color w:val="000000"/>
                <w:sz w:val="18"/>
                <w:szCs w:val="18"/>
                <w:lang w:val="fr-FR"/>
              </w:rPr>
              <w:fldChar w:fldCharType="separate"/>
            </w:r>
            <w:r w:rsidR="001C71BD" w:rsidRPr="001C71BD">
              <w:rPr>
                <w:rFonts w:ascii="Arial" w:hAnsi="Arial" w:cs="Arial"/>
                <w:sz w:val="18"/>
              </w:rPr>
              <w:t>(5)</w:t>
            </w:r>
            <w:r w:rsidRPr="00D50FDC">
              <w:rPr>
                <w:rFonts w:ascii="Arial" w:eastAsia="Times New Roman" w:hAnsi="Arial" w:cs="Arial"/>
                <w:color w:val="000000"/>
                <w:sz w:val="18"/>
                <w:szCs w:val="18"/>
                <w:lang w:val="fr-FR"/>
              </w:rPr>
              <w:fldChar w:fldCharType="end"/>
            </w:r>
          </w:p>
        </w:tc>
        <w:tc>
          <w:tcPr>
            <w:tcW w:w="540" w:type="pct"/>
            <w:shd w:val="clear" w:color="auto" w:fill="auto"/>
            <w:noWrap/>
            <w:vAlign w:val="bottom"/>
            <w:hideMark/>
          </w:tcPr>
          <w:p w14:paraId="547437CA" w14:textId="77777777" w:rsidR="00BF211E" w:rsidRPr="00A23139" w:rsidRDefault="00BF211E" w:rsidP="00386B4F">
            <w:pPr>
              <w:spacing w:after="0" w:line="240" w:lineRule="auto"/>
              <w:jc w:val="right"/>
              <w:rPr>
                <w:rFonts w:ascii="Arial" w:eastAsia="Times New Roman" w:hAnsi="Arial" w:cs="Arial"/>
                <w:color w:val="000000"/>
                <w:sz w:val="18"/>
                <w:szCs w:val="18"/>
                <w:lang w:val="fr-FR"/>
              </w:rPr>
            </w:pPr>
            <w:r w:rsidRPr="00A23139">
              <w:rPr>
                <w:rFonts w:ascii="Arial" w:hAnsi="Arial" w:cs="Arial"/>
                <w:color w:val="000000"/>
                <w:sz w:val="18"/>
                <w:szCs w:val="18"/>
              </w:rPr>
              <w:t>1.77</w:t>
            </w:r>
          </w:p>
        </w:tc>
        <w:tc>
          <w:tcPr>
            <w:tcW w:w="720" w:type="pct"/>
            <w:vAlign w:val="bottom"/>
          </w:tcPr>
          <w:p w14:paraId="098D3247" w14:textId="1CBE9970" w:rsidR="00BF211E" w:rsidRPr="00EB5F70" w:rsidRDefault="00BF211E" w:rsidP="00386B4F">
            <w:pPr>
              <w:spacing w:after="0" w:line="240" w:lineRule="auto"/>
              <w:rPr>
                <w:rFonts w:ascii="Arial" w:eastAsia="Times New Roman" w:hAnsi="Arial" w:cs="Arial"/>
                <w:color w:val="000000"/>
                <w:sz w:val="18"/>
                <w:szCs w:val="18"/>
                <w:lang w:val="fr-FR"/>
              </w:rPr>
            </w:pPr>
            <w:r w:rsidRPr="00EB5F70">
              <w:rPr>
                <w:rFonts w:ascii="Arial" w:hAnsi="Arial" w:cs="Arial"/>
                <w:color w:val="000000"/>
                <w:sz w:val="18"/>
                <w:szCs w:val="18"/>
              </w:rPr>
              <w:t xml:space="preserve">Cyp19a1 </w:t>
            </w:r>
            <w:r w:rsidRPr="00EB5F70">
              <w:rPr>
                <w:rFonts w:ascii="Arial" w:eastAsia="Times New Roman" w:hAnsi="Arial" w:cs="Arial"/>
                <w:color w:val="000000"/>
                <w:sz w:val="18"/>
                <w:szCs w:val="18"/>
                <w:lang w:val="fr-FR"/>
              </w:rPr>
              <w:fldChar w:fldCharType="begin"/>
            </w:r>
            <w:r w:rsidR="001C71BD">
              <w:rPr>
                <w:rFonts w:ascii="Arial" w:eastAsia="Times New Roman" w:hAnsi="Arial" w:cs="Arial"/>
                <w:color w:val="000000"/>
                <w:sz w:val="18"/>
                <w:szCs w:val="18"/>
                <w:lang w:val="fr-FR"/>
              </w:rPr>
              <w:instrText xml:space="preserve"> ADDIN ZOTERO_ITEM CSL_CITATION {"citationID":"mASdhlyf","properties":{"formattedCitation":"(29)","plainCitation":"(29)","noteIndex":0},"citationItems":[{"id":371,"uris":["http://zotero.org/users/local/Cg9l0yK5/items/KLNYFXIG"],"itemData":{"id":371,"type":"article-journal","abstract":"The orphan nuclear receptor, liver receptor homolog-1 (aka Nuclear receptor subfamily 5, Group A, Member 2 (Nr5a2)), is widely expressed in mammalian  tissues, and its ovarian expression is restricted to granulosa cells of activated  follicles. We employed the floxed Nr5a2 (Nr5a2f/f) mutant mouse line and two  granulosa-specific Cre lines, Anti-Müllerian hormone receptor- 2 (Amhr2Cre) and  transgenic cytochrome P450 family 19 subfamily A polypeptide 1 (tgCyp19Cre), to  develop two tissue- and time-specific Nr5a2 depletion models: Nr5a2Amhr2-/- and  Nr5a2Cyp19-/-. In the Nr5a2Cyp19-/- ovaries, Nr5a2 was depleted in mural  granulosa, but not cumulus cells. We induced follicular development in mutant and  wild-type (control, CON) mice with equine chorionic gonadotropin followed 44 h  later treatment with human chorionic gonadotropin (hCG) to induce ovulation. Both  Nr5a2Amhr2-/- and Nr5a2Cyp19-/- cumulus-oocyte complexes underwent a reduced  degree of expansion in vitro relative to wild-type mice. We found downregulation  of epiregulin (Ereg), amphiregulin (Areg), betacellulin (Btc) and tumor necrosis  factor stimulated gene-6 (Tnfaip6) transcripts in Nr5a2Amhr2-/- and Nr5a2Cyp19-/-  ovaries. Tnfaip6 protein abundance, by quantitative immunofluorescence, was  likewise substantially reduced in the Nr5a2-depleted model. Transcript abundance  for connexin 43 (Gja1) in granulosa cells was lower at 0 h and maximum at 8 h  post-hCG in both Nr5a2Amhr2-/- and Nr5a2Cyp19-/- follicles, while Gja1 protein  was not different prior to the ovulatory signal, but elevated at 8 h in  Nr5a2Amhr2-/- and Nr5a2Cyp19-/- follicles. In both mutant genotypes, oocytes can  mature in vivo and resulting embryos were capable of proceeding to blastocyst  stagein vitro. We conclude that Nr5a2 is essential for cumulus expansion in  granulosa cells throughout follicular development. The disruption of Nr5a2 in  follicular somatic cells does not affect the capacity of the oocyte to be  fertilized by intracytoplasmic sperm injection.","container-title":"Biology of reproduction","DOI":"10.1093/biolre/iox045","ISSN":"1529-7268 0006-3363","issue":"6","journalAbbreviation":"Biol Reprod","language":"eng","license":"© Crown copyright 2017.","note":"publisher-place: United States\nPMID: 28520915","page":"1231-1243","title":"Ovary-specific depletion of the nuclear receptor Nr5a2 compromises expansion of the cumulus oophorus but not fertilization by intracytoplasmic sperm injection.","volume":"96","author":[{"family":"Bertolin","given":"Kalyne"},{"family":"Meinsohn","given":"Marie-Charlotte"},{"family":"Suzuki","given":"João"},{"family":"Gossen","given":"Jan"},{"family":"Schoonjans","given":"Kristina"},{"family":"Duggavathi","given":"Rajesha"},{"family":"Murphy","given":"Bruce D."}],"issued":{"date-parts":[["2017",6,1]]}}}],"schema":"https://github.com/citation-style-language/schema/raw/master/csl-citation.json"} </w:instrText>
            </w:r>
            <w:r w:rsidRPr="00EB5F70">
              <w:rPr>
                <w:rFonts w:ascii="Arial" w:eastAsia="Times New Roman" w:hAnsi="Arial" w:cs="Arial"/>
                <w:color w:val="000000"/>
                <w:sz w:val="18"/>
                <w:szCs w:val="18"/>
                <w:lang w:val="fr-FR"/>
              </w:rPr>
              <w:fldChar w:fldCharType="separate"/>
            </w:r>
            <w:r w:rsidR="001C71BD" w:rsidRPr="001C71BD">
              <w:rPr>
                <w:rFonts w:ascii="Arial" w:hAnsi="Arial" w:cs="Arial"/>
                <w:sz w:val="18"/>
              </w:rPr>
              <w:t>(29)</w:t>
            </w:r>
            <w:r w:rsidRPr="00EB5F70">
              <w:rPr>
                <w:rFonts w:ascii="Arial" w:eastAsia="Times New Roman" w:hAnsi="Arial" w:cs="Arial"/>
                <w:color w:val="000000"/>
                <w:sz w:val="18"/>
                <w:szCs w:val="18"/>
                <w:lang w:val="fr-FR"/>
              </w:rPr>
              <w:fldChar w:fldCharType="end"/>
            </w:r>
          </w:p>
        </w:tc>
        <w:tc>
          <w:tcPr>
            <w:tcW w:w="539" w:type="pct"/>
            <w:shd w:val="clear" w:color="auto" w:fill="auto"/>
            <w:noWrap/>
            <w:vAlign w:val="bottom"/>
            <w:hideMark/>
          </w:tcPr>
          <w:p w14:paraId="08CE84DE" w14:textId="77777777" w:rsidR="00BF211E" w:rsidRPr="00EB5F70" w:rsidRDefault="00BF211E" w:rsidP="00386B4F">
            <w:pPr>
              <w:spacing w:after="0" w:line="240" w:lineRule="auto"/>
              <w:jc w:val="right"/>
              <w:rPr>
                <w:rFonts w:ascii="Arial" w:eastAsia="Times New Roman" w:hAnsi="Arial" w:cs="Arial"/>
                <w:color w:val="000000"/>
                <w:sz w:val="18"/>
                <w:szCs w:val="18"/>
                <w:lang w:val="fr-FR"/>
              </w:rPr>
            </w:pPr>
            <w:r w:rsidRPr="00EB5F70">
              <w:rPr>
                <w:rFonts w:ascii="Arial" w:hAnsi="Arial" w:cs="Arial"/>
                <w:color w:val="000000"/>
                <w:sz w:val="18"/>
                <w:szCs w:val="18"/>
              </w:rPr>
              <w:t>1.52</w:t>
            </w:r>
          </w:p>
        </w:tc>
        <w:tc>
          <w:tcPr>
            <w:tcW w:w="578" w:type="pct"/>
            <w:vAlign w:val="bottom"/>
          </w:tcPr>
          <w:p w14:paraId="75CBFF87" w14:textId="77777777" w:rsidR="00BF211E" w:rsidRPr="00A23139" w:rsidRDefault="00BF211E" w:rsidP="00386B4F">
            <w:pPr>
              <w:spacing w:after="0" w:line="240" w:lineRule="auto"/>
              <w:rPr>
                <w:rFonts w:ascii="Arial" w:eastAsia="Times New Roman" w:hAnsi="Arial" w:cs="Arial"/>
                <w:color w:val="000000"/>
                <w:sz w:val="18"/>
                <w:szCs w:val="18"/>
                <w:lang w:val="fr-FR"/>
              </w:rPr>
            </w:pPr>
            <w:r w:rsidRPr="00A23139">
              <w:rPr>
                <w:rFonts w:ascii="Arial" w:hAnsi="Arial" w:cs="Arial"/>
                <w:color w:val="000000"/>
                <w:sz w:val="18"/>
                <w:szCs w:val="18"/>
              </w:rPr>
              <w:t>Cdc42ep3</w:t>
            </w:r>
          </w:p>
        </w:tc>
        <w:tc>
          <w:tcPr>
            <w:tcW w:w="539" w:type="pct"/>
            <w:shd w:val="clear" w:color="auto" w:fill="auto"/>
            <w:noWrap/>
            <w:vAlign w:val="bottom"/>
            <w:hideMark/>
          </w:tcPr>
          <w:p w14:paraId="2E16D7CE" w14:textId="77777777" w:rsidR="00BF211E" w:rsidRPr="00A23139" w:rsidRDefault="00BF211E" w:rsidP="00386B4F">
            <w:pPr>
              <w:spacing w:after="0" w:line="240" w:lineRule="auto"/>
              <w:jc w:val="right"/>
              <w:rPr>
                <w:rFonts w:ascii="Arial" w:eastAsia="Times New Roman" w:hAnsi="Arial" w:cs="Arial"/>
                <w:color w:val="000000"/>
                <w:sz w:val="18"/>
                <w:szCs w:val="18"/>
                <w:lang w:val="fr-FR"/>
              </w:rPr>
            </w:pPr>
            <w:r w:rsidRPr="00A23139">
              <w:rPr>
                <w:rFonts w:ascii="Arial" w:hAnsi="Arial" w:cs="Arial"/>
                <w:color w:val="000000"/>
                <w:sz w:val="18"/>
                <w:szCs w:val="18"/>
              </w:rPr>
              <w:t>1.44</w:t>
            </w:r>
          </w:p>
        </w:tc>
        <w:tc>
          <w:tcPr>
            <w:tcW w:w="741" w:type="pct"/>
            <w:vAlign w:val="bottom"/>
          </w:tcPr>
          <w:p w14:paraId="3D61B3C2" w14:textId="5C0CF032" w:rsidR="00BF211E" w:rsidRPr="0097360C" w:rsidRDefault="00BF211E" w:rsidP="00386B4F">
            <w:pPr>
              <w:spacing w:after="0" w:line="240" w:lineRule="auto"/>
              <w:rPr>
                <w:rFonts w:ascii="Arial" w:eastAsia="Times New Roman" w:hAnsi="Arial" w:cs="Arial"/>
                <w:color w:val="000000"/>
                <w:sz w:val="18"/>
                <w:szCs w:val="18"/>
                <w:lang w:val="fr-FR"/>
              </w:rPr>
            </w:pPr>
            <w:r>
              <w:rPr>
                <w:rFonts w:ascii="Calibri" w:hAnsi="Calibri" w:cs="Calibri"/>
                <w:color w:val="000000"/>
              </w:rPr>
              <w:t xml:space="preserve">Cdk1 </w:t>
            </w:r>
            <w:r w:rsidRPr="00D50FDC">
              <w:rPr>
                <w:rFonts w:ascii="Arial" w:eastAsia="Times New Roman" w:hAnsi="Arial" w:cs="Arial"/>
                <w:color w:val="000000"/>
                <w:sz w:val="18"/>
                <w:szCs w:val="18"/>
                <w:lang w:val="fr-FR"/>
              </w:rPr>
              <w:fldChar w:fldCharType="begin"/>
            </w:r>
            <w:r w:rsidR="001C71BD">
              <w:rPr>
                <w:rFonts w:ascii="Arial" w:eastAsia="Times New Roman" w:hAnsi="Arial" w:cs="Arial"/>
                <w:color w:val="000000"/>
                <w:sz w:val="18"/>
                <w:szCs w:val="18"/>
                <w:lang w:val="fr-FR"/>
              </w:rPr>
              <w:instrText xml:space="preserve"> ADDIN ZOTERO_ITEM CSL_CITATION {"citationID":"EaDDGmbz","properties":{"formattedCitation":"(30,31)","plainCitation":"(30,31)","noteIndex":0},"citationItems":[{"id":140,"uris":["http://zotero.org/users/local/Cg9l0yK5/items/2YF3KAQ2"],"itemData":{"id":140,"type":"article-journal","abstract":"Ovarian granulosa cells (GCs) are a critical approach to investigate the mechanism of gene regulation during folliculogenesis. The objective of this study was to  investigate the role of MT2 in bovine GCs, and assess whether MT2 silencing affected  GCs response to melatonin. We found that MT2 silencing significantly decreased the  secretion of progesterone and estradiol, and increased the concentration of inhibin  B and activin B. To further reveal the regulatory mechanism of MT2 silencing on  steroids synthesis, it was found that the expression of CYP19A1 and CYP11A1 enzymes  (steroid hormone synthesis) were down-regulated, while genes related to hormonal  synthesis (StAR, RUNX2, INHA and INHBB) were up-regulated without affecting the  expression of INHBA, suggesting that MT2 silencing may regulate hormone abundance.  Furthermore, MT2 silencing significantly increased the expression of TGFBR3 and  BMP6, and decreased the expression of LHR and DNMT1A without significant difference  in the expression of FSHR and EGFR. In addition, MT2 silencing didn't affect the  effect of melatonin on increasing the expression of DNMT1A, EGFR, INHBA and LHR, and  progesterone level, or decreasing INHA, TGFBR3 and StAR expression, and production  of inhibin B. Moreover, MT2 silencing could disrupt the role of melatonin in  decreasing the FSHR, INHBB and BMP6 expression, and activin B secretion. In  conclusion, these results reveal that melatonin and MT2 are essential regulator of  bovine GCs function by modulating reproduction-related genes expression, hormones  secretion and other regulators of folliculogenesis.","container-title":"International journal of molecular sciences","DOI":"10.3390/ijms19072028","ISSN":"1422-0067","issue":"7","journalAbbreviation":"Int J Mol Sci","language":"eng","note":"PMID: 30002300 \nPMCID: PMC6073438","title":"The Mechanism of Melatonin and Its Receptor MT2 Involved in the Development of Bovine Granulosa Cells.","volume":"19","author":[{"family":"Wang","given":"Shujuan"},{"family":"Liu","given":"Wenju"},{"family":"Pang","given":"Xunsheng"},{"family":"Dai","given":"Sifa"},{"family":"Liu","given":"Guodong"}],"issued":{"date-parts":[["2018",7,12]]}}},{"id":286,"uris":["http://zotero.org/users/local/Cg9l0yK5/items/FM4HGM7Y"],"itemData":{"id":286,"type":"article-journal","abstract":"Cell division, the purpose of which is to enable cell replication, and in particular to distribute complete, accurate copies of genetic material to daughter cells, is  essential for the propagation of life. At a morphological level, division not only  necessitates duplication of cellular structures, but it also relies on polar  segregation of this material followed by physical scission of the parent cell. For  these fundamental changes in cell shape and positioning to be achieved, mechanisms  are required to link the cell cycle to the modulation of cytoarchitecture. Outside  of mitosis, the three main cytoskeletal networks not only endow cells with a  physical cytoplasmic skeleton, but they also provide a mechanism for spatio-temporal  sensing via integrin-associated adhesion complexes and site-directed delivery of  cargoes. During mitosis, some interphase functions are retained, but the  architecture of the cytoskeleton changes dramatically, and there is a need to  generate a mitotic spindle for chromosome segregation. An economical solution is to  re-use existing cytoskeletal molecules: transcellular actin stress fibres remodel to  create a rigid cortex and a cytokinetic furrow, while unipolar radial microtubules  become the primary components of the bipolar spindle. This remodelling implies the  existence of specific mechanisms that link the cell-cycle machinery to the control  of adhesion and the cytoskeleton. In this article, we review the intimate three-way  connection between microenvironmental sensing, adhesion signalling and cell  proliferation, particularly in the contexts of normal growth control and aberrant  tumour progression. As the morphological changes that occur during mitosis are  ancient, the mechanisms linking the cell cycle to the cytoskeleton/adhesion  signalling network are likely to be primordial in nature and we discuss recent  advances that have elucidated elements of this link. A particular focus is the  connection between CDK1 and cell adhesion. This article is part of a discussion  meeting issue 'Forces in cancer: interdisciplinary approaches in tumour  mechanobiology'.","container-title":"Philosophical transactions of the Royal Society of London. Series B, Biological sciences","DOI":"10.1098/rstb.2018.0227","ISSN":"1471-2970 0962-8436","issue":"1779","journalAbbreviation":"Philos Trans R Soc Lond B Biol Sci","language":"eng","note":"PMID: 31431178 \nPMCID: PMC6627016","page":"20180227","title":"Connections between the cell cycle, cell adhesion and the cytoskeleton.","volume":"374","author":[{"family":"Jones","given":"Matthew C."},{"family":"Zha","given":"Junzhe"},{"family":"Humphries","given":"Martin J."}],"issued":{"date-parts":[["2019",8,19]]}}}],"schema":"https://github.com/citation-style-language/schema/raw/master/csl-citation.json"} </w:instrText>
            </w:r>
            <w:r w:rsidRPr="00D50FDC">
              <w:rPr>
                <w:rFonts w:ascii="Arial" w:eastAsia="Times New Roman" w:hAnsi="Arial" w:cs="Arial"/>
                <w:color w:val="000000"/>
                <w:sz w:val="18"/>
                <w:szCs w:val="18"/>
                <w:lang w:val="fr-FR"/>
              </w:rPr>
              <w:fldChar w:fldCharType="separate"/>
            </w:r>
            <w:r w:rsidR="001C71BD" w:rsidRPr="001C71BD">
              <w:rPr>
                <w:rFonts w:ascii="Arial" w:hAnsi="Arial" w:cs="Arial"/>
                <w:sz w:val="18"/>
                <w:lang w:val="fr-FR"/>
              </w:rPr>
              <w:t>(30,31)</w:t>
            </w:r>
            <w:r w:rsidRPr="00D50FDC">
              <w:rPr>
                <w:rFonts w:ascii="Arial" w:eastAsia="Times New Roman" w:hAnsi="Arial" w:cs="Arial"/>
                <w:color w:val="000000"/>
                <w:sz w:val="18"/>
                <w:szCs w:val="18"/>
                <w:lang w:val="fr-FR"/>
              </w:rPr>
              <w:fldChar w:fldCharType="end"/>
            </w:r>
          </w:p>
        </w:tc>
        <w:tc>
          <w:tcPr>
            <w:tcW w:w="539" w:type="pct"/>
            <w:shd w:val="clear" w:color="auto" w:fill="auto"/>
            <w:noWrap/>
            <w:vAlign w:val="bottom"/>
            <w:hideMark/>
          </w:tcPr>
          <w:p w14:paraId="6839DC9C" w14:textId="77777777" w:rsidR="00BF211E" w:rsidRPr="00EB5F70" w:rsidRDefault="00BF211E" w:rsidP="00386B4F">
            <w:pPr>
              <w:spacing w:after="0" w:line="240" w:lineRule="auto"/>
              <w:jc w:val="right"/>
              <w:rPr>
                <w:rFonts w:ascii="Arial" w:eastAsia="Times New Roman" w:hAnsi="Arial" w:cs="Arial"/>
                <w:color w:val="000000"/>
                <w:sz w:val="18"/>
                <w:szCs w:val="18"/>
                <w:lang w:val="fr-FR"/>
              </w:rPr>
            </w:pPr>
            <w:r w:rsidRPr="00BE466E">
              <w:rPr>
                <w:rFonts w:ascii="Arial" w:hAnsi="Arial" w:cs="Arial"/>
                <w:color w:val="000000"/>
                <w:sz w:val="18"/>
                <w:szCs w:val="18"/>
                <w:lang w:val="fr-FR"/>
              </w:rPr>
              <w:t>1.80</w:t>
            </w:r>
          </w:p>
        </w:tc>
      </w:tr>
      <w:tr w:rsidR="00BF211E" w:rsidRPr="001C71BD" w14:paraId="17AFA147" w14:textId="77777777" w:rsidTr="00386B4F">
        <w:trPr>
          <w:trHeight w:val="290"/>
        </w:trPr>
        <w:tc>
          <w:tcPr>
            <w:tcW w:w="804" w:type="pct"/>
            <w:vAlign w:val="bottom"/>
          </w:tcPr>
          <w:p w14:paraId="0D0F0F9B" w14:textId="77777777" w:rsidR="00BF211E" w:rsidRPr="00C6017F" w:rsidRDefault="00BF211E" w:rsidP="00386B4F">
            <w:pPr>
              <w:spacing w:after="0" w:line="240" w:lineRule="auto"/>
              <w:rPr>
                <w:rFonts w:ascii="Arial" w:hAnsi="Arial" w:cs="Arial"/>
                <w:color w:val="000000"/>
                <w:sz w:val="18"/>
                <w:szCs w:val="18"/>
                <w:lang w:val="fr-FR"/>
              </w:rPr>
            </w:pPr>
            <w:r w:rsidRPr="00D55061">
              <w:rPr>
                <w:rFonts w:ascii="Arial" w:hAnsi="Arial" w:cs="Arial"/>
                <w:color w:val="000000"/>
                <w:sz w:val="18"/>
                <w:szCs w:val="18"/>
                <w:lang w:val="fr-FR"/>
              </w:rPr>
              <w:t>X1190002N15Rik</w:t>
            </w:r>
          </w:p>
        </w:tc>
        <w:tc>
          <w:tcPr>
            <w:tcW w:w="540" w:type="pct"/>
            <w:shd w:val="clear" w:color="auto" w:fill="auto"/>
            <w:noWrap/>
            <w:vAlign w:val="bottom"/>
            <w:hideMark/>
          </w:tcPr>
          <w:p w14:paraId="15D656BF" w14:textId="77777777" w:rsidR="00BF211E" w:rsidRPr="00A23139" w:rsidRDefault="00BF211E" w:rsidP="00386B4F">
            <w:pPr>
              <w:spacing w:after="0" w:line="240" w:lineRule="auto"/>
              <w:jc w:val="right"/>
              <w:rPr>
                <w:rFonts w:ascii="Arial" w:eastAsia="Times New Roman" w:hAnsi="Arial" w:cs="Arial"/>
                <w:color w:val="000000"/>
                <w:sz w:val="18"/>
                <w:szCs w:val="18"/>
                <w:lang w:val="fr-FR"/>
              </w:rPr>
            </w:pPr>
            <w:r w:rsidRPr="00BE466E">
              <w:rPr>
                <w:rFonts w:ascii="Arial" w:hAnsi="Arial" w:cs="Arial"/>
                <w:color w:val="000000"/>
                <w:sz w:val="18"/>
                <w:szCs w:val="18"/>
                <w:lang w:val="fr-FR"/>
              </w:rPr>
              <w:t>1.74</w:t>
            </w:r>
          </w:p>
        </w:tc>
        <w:tc>
          <w:tcPr>
            <w:tcW w:w="720" w:type="pct"/>
            <w:vAlign w:val="bottom"/>
          </w:tcPr>
          <w:p w14:paraId="5ACAA205" w14:textId="77777777" w:rsidR="00BF211E" w:rsidRPr="00EB5F70" w:rsidRDefault="00BF211E" w:rsidP="00386B4F">
            <w:pPr>
              <w:spacing w:after="0" w:line="240" w:lineRule="auto"/>
              <w:rPr>
                <w:rFonts w:ascii="Arial" w:eastAsia="Times New Roman" w:hAnsi="Arial" w:cs="Arial"/>
                <w:color w:val="000000"/>
                <w:sz w:val="18"/>
                <w:szCs w:val="18"/>
                <w:lang w:val="fr-FR"/>
              </w:rPr>
            </w:pPr>
            <w:r w:rsidRPr="00BE466E">
              <w:rPr>
                <w:rFonts w:ascii="Arial" w:hAnsi="Arial" w:cs="Arial"/>
                <w:color w:val="000000"/>
                <w:sz w:val="18"/>
                <w:szCs w:val="18"/>
                <w:lang w:val="fr-FR"/>
              </w:rPr>
              <w:t>Tom1l1</w:t>
            </w:r>
          </w:p>
        </w:tc>
        <w:tc>
          <w:tcPr>
            <w:tcW w:w="539" w:type="pct"/>
            <w:shd w:val="clear" w:color="auto" w:fill="auto"/>
            <w:noWrap/>
            <w:vAlign w:val="bottom"/>
            <w:hideMark/>
          </w:tcPr>
          <w:p w14:paraId="2AB68258" w14:textId="77777777" w:rsidR="00BF211E" w:rsidRPr="00EB5F70" w:rsidRDefault="00BF211E" w:rsidP="00386B4F">
            <w:pPr>
              <w:spacing w:after="0" w:line="240" w:lineRule="auto"/>
              <w:jc w:val="right"/>
              <w:rPr>
                <w:rFonts w:ascii="Arial" w:eastAsia="Times New Roman" w:hAnsi="Arial" w:cs="Arial"/>
                <w:color w:val="000000"/>
                <w:sz w:val="18"/>
                <w:szCs w:val="18"/>
                <w:lang w:val="fr-FR"/>
              </w:rPr>
            </w:pPr>
            <w:r w:rsidRPr="00BE466E">
              <w:rPr>
                <w:rFonts w:ascii="Arial" w:hAnsi="Arial" w:cs="Arial"/>
                <w:color w:val="000000"/>
                <w:sz w:val="18"/>
                <w:szCs w:val="18"/>
                <w:lang w:val="fr-FR"/>
              </w:rPr>
              <w:t>1.39</w:t>
            </w:r>
          </w:p>
        </w:tc>
        <w:tc>
          <w:tcPr>
            <w:tcW w:w="578" w:type="pct"/>
            <w:vAlign w:val="bottom"/>
          </w:tcPr>
          <w:p w14:paraId="36B32C5B" w14:textId="77777777" w:rsidR="00BF211E" w:rsidRPr="00A23139" w:rsidRDefault="00BF211E" w:rsidP="00386B4F">
            <w:pPr>
              <w:spacing w:after="0" w:line="240" w:lineRule="auto"/>
              <w:rPr>
                <w:rFonts w:ascii="Arial" w:eastAsia="Times New Roman" w:hAnsi="Arial" w:cs="Arial"/>
                <w:color w:val="000000"/>
                <w:sz w:val="18"/>
                <w:szCs w:val="18"/>
                <w:lang w:val="fr-FR"/>
              </w:rPr>
            </w:pPr>
            <w:r w:rsidRPr="00BE466E">
              <w:rPr>
                <w:rFonts w:ascii="Arial" w:hAnsi="Arial" w:cs="Arial"/>
                <w:color w:val="000000"/>
                <w:sz w:val="18"/>
                <w:szCs w:val="18"/>
                <w:lang w:val="fr-FR"/>
              </w:rPr>
              <w:t>Fhl1</w:t>
            </w:r>
          </w:p>
        </w:tc>
        <w:tc>
          <w:tcPr>
            <w:tcW w:w="539" w:type="pct"/>
            <w:shd w:val="clear" w:color="auto" w:fill="auto"/>
            <w:noWrap/>
            <w:vAlign w:val="bottom"/>
            <w:hideMark/>
          </w:tcPr>
          <w:p w14:paraId="12B9765A" w14:textId="77777777" w:rsidR="00BF211E" w:rsidRPr="00A23139" w:rsidRDefault="00BF211E" w:rsidP="00386B4F">
            <w:pPr>
              <w:spacing w:after="0" w:line="240" w:lineRule="auto"/>
              <w:jc w:val="right"/>
              <w:rPr>
                <w:rFonts w:ascii="Arial" w:eastAsia="Times New Roman" w:hAnsi="Arial" w:cs="Arial"/>
                <w:color w:val="000000"/>
                <w:sz w:val="18"/>
                <w:szCs w:val="18"/>
                <w:lang w:val="fr-FR"/>
              </w:rPr>
            </w:pPr>
            <w:r w:rsidRPr="00BE466E">
              <w:rPr>
                <w:rFonts w:ascii="Arial" w:hAnsi="Arial" w:cs="Arial"/>
                <w:color w:val="000000"/>
                <w:sz w:val="18"/>
                <w:szCs w:val="18"/>
                <w:lang w:val="fr-FR"/>
              </w:rPr>
              <w:t>1.40</w:t>
            </w:r>
          </w:p>
        </w:tc>
        <w:tc>
          <w:tcPr>
            <w:tcW w:w="741" w:type="pct"/>
            <w:vAlign w:val="bottom"/>
          </w:tcPr>
          <w:p w14:paraId="6FFE259F" w14:textId="77777777" w:rsidR="00BF211E" w:rsidRPr="0097360C" w:rsidRDefault="00BF211E" w:rsidP="00386B4F">
            <w:pPr>
              <w:spacing w:after="0" w:line="240" w:lineRule="auto"/>
              <w:rPr>
                <w:rFonts w:ascii="Arial" w:eastAsia="Times New Roman" w:hAnsi="Arial" w:cs="Arial"/>
                <w:color w:val="000000"/>
                <w:sz w:val="18"/>
                <w:szCs w:val="18"/>
                <w:lang w:val="fr-FR"/>
              </w:rPr>
            </w:pPr>
            <w:r w:rsidRPr="00BE466E">
              <w:rPr>
                <w:rFonts w:ascii="Calibri" w:hAnsi="Calibri" w:cs="Calibri"/>
                <w:color w:val="000000"/>
                <w:lang w:val="fr-FR"/>
              </w:rPr>
              <w:t>Prc1</w:t>
            </w:r>
          </w:p>
        </w:tc>
        <w:tc>
          <w:tcPr>
            <w:tcW w:w="539" w:type="pct"/>
            <w:shd w:val="clear" w:color="auto" w:fill="auto"/>
            <w:noWrap/>
            <w:vAlign w:val="bottom"/>
            <w:hideMark/>
          </w:tcPr>
          <w:p w14:paraId="03F6372E" w14:textId="77777777" w:rsidR="00BF211E" w:rsidRPr="00EB5F70" w:rsidRDefault="00BF211E" w:rsidP="00386B4F">
            <w:pPr>
              <w:spacing w:after="0" w:line="240" w:lineRule="auto"/>
              <w:jc w:val="right"/>
              <w:rPr>
                <w:rFonts w:ascii="Arial" w:eastAsia="Times New Roman" w:hAnsi="Arial" w:cs="Arial"/>
                <w:color w:val="000000"/>
                <w:sz w:val="18"/>
                <w:szCs w:val="18"/>
                <w:lang w:val="fr-FR"/>
              </w:rPr>
            </w:pPr>
            <w:r w:rsidRPr="00BE466E">
              <w:rPr>
                <w:rFonts w:ascii="Arial" w:hAnsi="Arial" w:cs="Arial"/>
                <w:color w:val="000000"/>
                <w:sz w:val="18"/>
                <w:szCs w:val="18"/>
                <w:lang w:val="fr-FR"/>
              </w:rPr>
              <w:t>1.75</w:t>
            </w:r>
          </w:p>
        </w:tc>
      </w:tr>
    </w:tbl>
    <w:p w14:paraId="47CAD1CC" w14:textId="77777777" w:rsidR="00BF211E" w:rsidRDefault="00BF211E" w:rsidP="00BF211E">
      <w:pPr>
        <w:spacing w:line="480" w:lineRule="auto"/>
        <w:rPr>
          <w:rFonts w:ascii="Arial" w:eastAsia="Arial" w:hAnsi="Arial" w:cs="Arial"/>
          <w:color w:val="000000" w:themeColor="text1"/>
          <w:sz w:val="20"/>
          <w:szCs w:val="20"/>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47"/>
        <w:gridCol w:w="975"/>
        <w:gridCol w:w="1147"/>
        <w:gridCol w:w="1502"/>
        <w:gridCol w:w="1147"/>
        <w:gridCol w:w="1157"/>
        <w:gridCol w:w="1147"/>
      </w:tblGrid>
      <w:tr w:rsidR="001C71BD" w:rsidRPr="001C71BD" w14:paraId="0999B0F5" w14:textId="77777777" w:rsidTr="00386B4F">
        <w:trPr>
          <w:trHeight w:val="290"/>
        </w:trPr>
        <w:tc>
          <w:tcPr>
            <w:tcW w:w="761" w:type="pct"/>
            <w:vAlign w:val="bottom"/>
          </w:tcPr>
          <w:p w14:paraId="4ADF5101" w14:textId="77777777" w:rsidR="00BF211E" w:rsidRPr="00BE466E" w:rsidRDefault="00BF211E" w:rsidP="00386B4F">
            <w:pPr>
              <w:spacing w:after="0" w:line="240" w:lineRule="auto"/>
              <w:rPr>
                <w:rFonts w:ascii="Arial" w:eastAsia="Times New Roman" w:hAnsi="Arial" w:cs="Arial"/>
                <w:b/>
                <w:bCs/>
                <w:color w:val="000000"/>
                <w:sz w:val="18"/>
                <w:szCs w:val="18"/>
                <w:lang w:val="fr-FR"/>
              </w:rPr>
            </w:pPr>
            <w:proofErr w:type="spellStart"/>
            <w:r w:rsidRPr="00BE466E">
              <w:rPr>
                <w:rFonts w:ascii="Arial" w:eastAsia="Times New Roman" w:hAnsi="Arial" w:cs="Arial"/>
                <w:b/>
                <w:bCs/>
                <w:color w:val="000000"/>
                <w:sz w:val="18"/>
                <w:szCs w:val="18"/>
                <w:lang w:val="fr-FR"/>
              </w:rPr>
              <w:t>Luteinizing</w:t>
            </w:r>
            <w:proofErr w:type="spellEnd"/>
            <w:r w:rsidRPr="00BE466E">
              <w:rPr>
                <w:rFonts w:ascii="Arial" w:eastAsia="Times New Roman" w:hAnsi="Arial" w:cs="Arial"/>
                <w:b/>
                <w:bCs/>
                <w:color w:val="000000"/>
                <w:sz w:val="18"/>
                <w:szCs w:val="18"/>
                <w:lang w:val="fr-FR"/>
              </w:rPr>
              <w:t xml:space="preserve"> mural</w:t>
            </w:r>
          </w:p>
        </w:tc>
        <w:tc>
          <w:tcPr>
            <w:tcW w:w="521" w:type="pct"/>
            <w:shd w:val="clear" w:color="auto" w:fill="auto"/>
            <w:noWrap/>
            <w:vAlign w:val="bottom"/>
            <w:hideMark/>
          </w:tcPr>
          <w:p w14:paraId="743381A8" w14:textId="77777777" w:rsidR="00BF211E" w:rsidRPr="00BE466E" w:rsidRDefault="00BF211E" w:rsidP="00386B4F">
            <w:pPr>
              <w:spacing w:after="0" w:line="240" w:lineRule="auto"/>
              <w:rPr>
                <w:rFonts w:ascii="Arial" w:eastAsia="Times New Roman" w:hAnsi="Arial" w:cs="Arial"/>
                <w:color w:val="000000"/>
                <w:sz w:val="18"/>
                <w:szCs w:val="18"/>
                <w:lang w:val="fr-FR"/>
              </w:rPr>
            </w:pPr>
            <w:proofErr w:type="gramStart"/>
            <w:r w:rsidRPr="00BE466E">
              <w:rPr>
                <w:rFonts w:ascii="Arial" w:eastAsia="Times New Roman" w:hAnsi="Arial" w:cs="Arial"/>
                <w:color w:val="000000"/>
                <w:sz w:val="18"/>
                <w:szCs w:val="18"/>
                <w:lang w:val="fr-FR"/>
              </w:rPr>
              <w:t>avg</w:t>
            </w:r>
            <w:proofErr w:type="gramEnd"/>
            <w:r w:rsidRPr="00BE466E">
              <w:rPr>
                <w:rFonts w:ascii="Arial" w:eastAsia="Times New Roman" w:hAnsi="Arial" w:cs="Arial"/>
                <w:color w:val="000000"/>
                <w:sz w:val="18"/>
                <w:szCs w:val="18"/>
                <w:lang w:val="fr-FR"/>
              </w:rPr>
              <w:t>_log2FC</w:t>
            </w:r>
          </w:p>
        </w:tc>
        <w:tc>
          <w:tcPr>
            <w:tcW w:w="653" w:type="pct"/>
            <w:vAlign w:val="bottom"/>
          </w:tcPr>
          <w:p w14:paraId="7701F241" w14:textId="77777777" w:rsidR="00BF211E" w:rsidRPr="00BE466E" w:rsidRDefault="00BF211E" w:rsidP="00386B4F">
            <w:pPr>
              <w:spacing w:after="0" w:line="240" w:lineRule="auto"/>
              <w:rPr>
                <w:rFonts w:ascii="Arial" w:eastAsia="Times New Roman" w:hAnsi="Arial" w:cs="Arial"/>
                <w:b/>
                <w:bCs/>
                <w:color w:val="000000"/>
                <w:sz w:val="18"/>
                <w:szCs w:val="18"/>
                <w:lang w:val="fr-FR"/>
              </w:rPr>
            </w:pPr>
            <w:r w:rsidRPr="00BE466E">
              <w:rPr>
                <w:rFonts w:ascii="Arial" w:eastAsia="Times New Roman" w:hAnsi="Arial" w:cs="Arial"/>
                <w:b/>
                <w:bCs/>
                <w:color w:val="000000"/>
                <w:sz w:val="18"/>
                <w:szCs w:val="18"/>
                <w:lang w:val="fr-FR"/>
              </w:rPr>
              <w:t>Active CL</w:t>
            </w:r>
          </w:p>
        </w:tc>
        <w:tc>
          <w:tcPr>
            <w:tcW w:w="599" w:type="pct"/>
            <w:shd w:val="clear" w:color="auto" w:fill="auto"/>
            <w:noWrap/>
            <w:vAlign w:val="bottom"/>
            <w:hideMark/>
          </w:tcPr>
          <w:p w14:paraId="20B79AEE" w14:textId="77777777" w:rsidR="00BF211E" w:rsidRPr="00BE466E" w:rsidRDefault="00BF211E" w:rsidP="00386B4F">
            <w:pPr>
              <w:spacing w:after="0" w:line="240" w:lineRule="auto"/>
              <w:rPr>
                <w:rFonts w:ascii="Arial" w:eastAsia="Times New Roman" w:hAnsi="Arial" w:cs="Arial"/>
                <w:color w:val="000000"/>
                <w:sz w:val="18"/>
                <w:szCs w:val="18"/>
                <w:lang w:val="fr-FR"/>
              </w:rPr>
            </w:pPr>
            <w:proofErr w:type="gramStart"/>
            <w:r w:rsidRPr="00BE466E">
              <w:rPr>
                <w:rFonts w:ascii="Arial" w:eastAsia="Times New Roman" w:hAnsi="Arial" w:cs="Arial"/>
                <w:color w:val="000000"/>
                <w:sz w:val="18"/>
                <w:szCs w:val="18"/>
                <w:lang w:val="fr-FR"/>
              </w:rPr>
              <w:t>avg</w:t>
            </w:r>
            <w:proofErr w:type="gramEnd"/>
            <w:r w:rsidRPr="00BE466E">
              <w:rPr>
                <w:rFonts w:ascii="Arial" w:eastAsia="Times New Roman" w:hAnsi="Arial" w:cs="Arial"/>
                <w:color w:val="000000"/>
                <w:sz w:val="18"/>
                <w:szCs w:val="18"/>
                <w:lang w:val="fr-FR"/>
              </w:rPr>
              <w:t>_log2FC</w:t>
            </w:r>
          </w:p>
        </w:tc>
        <w:tc>
          <w:tcPr>
            <w:tcW w:w="747" w:type="pct"/>
            <w:shd w:val="clear" w:color="auto" w:fill="auto"/>
            <w:noWrap/>
            <w:vAlign w:val="bottom"/>
            <w:hideMark/>
          </w:tcPr>
          <w:p w14:paraId="3EBF64EB" w14:textId="77777777" w:rsidR="00BF211E" w:rsidRPr="00BE466E" w:rsidRDefault="00BF211E" w:rsidP="00386B4F">
            <w:pPr>
              <w:spacing w:after="0" w:line="240" w:lineRule="auto"/>
              <w:rPr>
                <w:rFonts w:ascii="Arial" w:eastAsia="Times New Roman" w:hAnsi="Arial" w:cs="Arial"/>
                <w:b/>
                <w:bCs/>
                <w:color w:val="000000"/>
                <w:sz w:val="18"/>
                <w:szCs w:val="18"/>
                <w:lang w:val="fr-FR"/>
              </w:rPr>
            </w:pPr>
            <w:proofErr w:type="spellStart"/>
            <w:r w:rsidRPr="00BE466E">
              <w:rPr>
                <w:rFonts w:ascii="Arial" w:eastAsia="Times New Roman" w:hAnsi="Arial" w:cs="Arial"/>
                <w:b/>
                <w:bCs/>
                <w:color w:val="000000"/>
                <w:sz w:val="18"/>
                <w:szCs w:val="18"/>
                <w:lang w:val="fr-FR"/>
              </w:rPr>
              <w:t>Mitotic</w:t>
            </w:r>
            <w:proofErr w:type="spellEnd"/>
            <w:r w:rsidRPr="00BE466E">
              <w:rPr>
                <w:rFonts w:ascii="Arial" w:eastAsia="Times New Roman" w:hAnsi="Arial" w:cs="Arial"/>
                <w:b/>
                <w:bCs/>
                <w:color w:val="000000"/>
                <w:sz w:val="18"/>
                <w:szCs w:val="18"/>
                <w:lang w:val="fr-FR"/>
              </w:rPr>
              <w:t>-Antral</w:t>
            </w:r>
          </w:p>
        </w:tc>
        <w:tc>
          <w:tcPr>
            <w:tcW w:w="488" w:type="pct"/>
            <w:shd w:val="clear" w:color="auto" w:fill="auto"/>
            <w:noWrap/>
            <w:vAlign w:val="bottom"/>
            <w:hideMark/>
          </w:tcPr>
          <w:p w14:paraId="4F8F57A6" w14:textId="77777777" w:rsidR="00BF211E" w:rsidRPr="00BE466E" w:rsidRDefault="00BF211E" w:rsidP="00386B4F">
            <w:pPr>
              <w:spacing w:after="0" w:line="240" w:lineRule="auto"/>
              <w:rPr>
                <w:rFonts w:ascii="Arial" w:eastAsia="Times New Roman" w:hAnsi="Arial" w:cs="Arial"/>
                <w:color w:val="000000"/>
                <w:sz w:val="18"/>
                <w:szCs w:val="18"/>
                <w:lang w:val="fr-FR"/>
              </w:rPr>
            </w:pPr>
            <w:proofErr w:type="gramStart"/>
            <w:r w:rsidRPr="00BE466E">
              <w:rPr>
                <w:rFonts w:ascii="Arial" w:eastAsia="Times New Roman" w:hAnsi="Arial" w:cs="Arial"/>
                <w:color w:val="000000"/>
                <w:sz w:val="18"/>
                <w:szCs w:val="18"/>
                <w:lang w:val="fr-FR"/>
              </w:rPr>
              <w:t>avg</w:t>
            </w:r>
            <w:proofErr w:type="gramEnd"/>
            <w:r w:rsidRPr="00BE466E">
              <w:rPr>
                <w:rFonts w:ascii="Arial" w:eastAsia="Times New Roman" w:hAnsi="Arial" w:cs="Arial"/>
                <w:color w:val="000000"/>
                <w:sz w:val="18"/>
                <w:szCs w:val="18"/>
                <w:lang w:val="fr-FR"/>
              </w:rPr>
              <w:t>_log2FC</w:t>
            </w:r>
          </w:p>
        </w:tc>
        <w:tc>
          <w:tcPr>
            <w:tcW w:w="750" w:type="pct"/>
          </w:tcPr>
          <w:p w14:paraId="492251B2" w14:textId="77777777" w:rsidR="00BF211E" w:rsidRPr="00BE466E" w:rsidRDefault="00BF211E" w:rsidP="00386B4F">
            <w:pPr>
              <w:spacing w:after="0" w:line="240" w:lineRule="auto"/>
              <w:rPr>
                <w:rFonts w:ascii="Arial" w:eastAsia="Times New Roman" w:hAnsi="Arial" w:cs="Arial"/>
                <w:b/>
                <w:bCs/>
                <w:color w:val="000000"/>
                <w:sz w:val="18"/>
                <w:szCs w:val="18"/>
                <w:lang w:val="fr-FR"/>
              </w:rPr>
            </w:pPr>
            <w:proofErr w:type="spellStart"/>
            <w:r w:rsidRPr="00BE466E">
              <w:rPr>
                <w:rFonts w:ascii="Arial" w:eastAsia="Times New Roman" w:hAnsi="Arial" w:cs="Arial"/>
                <w:b/>
                <w:bCs/>
                <w:color w:val="000000"/>
                <w:sz w:val="18"/>
                <w:szCs w:val="18"/>
                <w:lang w:val="fr-FR"/>
              </w:rPr>
              <w:t>Regressing</w:t>
            </w:r>
            <w:proofErr w:type="spellEnd"/>
            <w:r w:rsidRPr="00BE466E">
              <w:rPr>
                <w:rFonts w:ascii="Arial" w:eastAsia="Times New Roman" w:hAnsi="Arial" w:cs="Arial"/>
                <w:b/>
                <w:bCs/>
                <w:color w:val="000000"/>
                <w:sz w:val="18"/>
                <w:szCs w:val="18"/>
                <w:lang w:val="fr-FR"/>
              </w:rPr>
              <w:t xml:space="preserve"> CL</w:t>
            </w:r>
          </w:p>
        </w:tc>
        <w:tc>
          <w:tcPr>
            <w:tcW w:w="480" w:type="pct"/>
            <w:shd w:val="clear" w:color="auto" w:fill="auto"/>
            <w:noWrap/>
            <w:vAlign w:val="bottom"/>
            <w:hideMark/>
          </w:tcPr>
          <w:p w14:paraId="44A50410" w14:textId="77777777" w:rsidR="00BF211E" w:rsidRPr="00BE466E" w:rsidRDefault="00BF211E" w:rsidP="00386B4F">
            <w:pPr>
              <w:spacing w:after="0" w:line="240" w:lineRule="auto"/>
              <w:rPr>
                <w:rFonts w:ascii="Arial" w:eastAsia="Times New Roman" w:hAnsi="Arial" w:cs="Arial"/>
                <w:color w:val="000000"/>
                <w:sz w:val="18"/>
                <w:szCs w:val="18"/>
                <w:lang w:val="fr-FR"/>
              </w:rPr>
            </w:pPr>
            <w:proofErr w:type="gramStart"/>
            <w:r w:rsidRPr="00BE466E">
              <w:rPr>
                <w:rFonts w:ascii="Arial" w:eastAsia="Times New Roman" w:hAnsi="Arial" w:cs="Arial"/>
                <w:color w:val="000000"/>
                <w:sz w:val="18"/>
                <w:szCs w:val="18"/>
                <w:lang w:val="fr-FR"/>
              </w:rPr>
              <w:t>avg</w:t>
            </w:r>
            <w:proofErr w:type="gramEnd"/>
            <w:r w:rsidRPr="00BE466E">
              <w:rPr>
                <w:rFonts w:ascii="Arial" w:eastAsia="Times New Roman" w:hAnsi="Arial" w:cs="Arial"/>
                <w:color w:val="000000"/>
                <w:sz w:val="18"/>
                <w:szCs w:val="18"/>
                <w:lang w:val="fr-FR"/>
              </w:rPr>
              <w:t>_log2FC</w:t>
            </w:r>
          </w:p>
        </w:tc>
      </w:tr>
      <w:tr w:rsidR="001C71BD" w:rsidRPr="0097360C" w14:paraId="28A0DDFF" w14:textId="77777777" w:rsidTr="00386B4F">
        <w:trPr>
          <w:trHeight w:val="290"/>
        </w:trPr>
        <w:tc>
          <w:tcPr>
            <w:tcW w:w="761" w:type="pct"/>
            <w:vAlign w:val="bottom"/>
          </w:tcPr>
          <w:p w14:paraId="682663FE" w14:textId="15461429" w:rsidR="00BF211E" w:rsidRPr="0097360C" w:rsidRDefault="00BF211E" w:rsidP="00386B4F">
            <w:pPr>
              <w:spacing w:after="0" w:line="240" w:lineRule="auto"/>
              <w:rPr>
                <w:rFonts w:ascii="Arial" w:eastAsia="Times New Roman" w:hAnsi="Arial" w:cs="Arial"/>
                <w:color w:val="000000"/>
                <w:sz w:val="18"/>
                <w:szCs w:val="18"/>
              </w:rPr>
            </w:pPr>
            <w:r w:rsidRPr="00BE466E">
              <w:rPr>
                <w:rFonts w:ascii="Calibri" w:hAnsi="Calibri" w:cs="Calibri"/>
                <w:color w:val="000000"/>
                <w:lang w:val="fr-FR"/>
              </w:rPr>
              <w:t xml:space="preserve">Tinagl1 </w:t>
            </w:r>
            <w:r w:rsidRPr="00D50FDC">
              <w:rPr>
                <w:rFonts w:ascii="Arial" w:eastAsia="Times New Roman" w:hAnsi="Arial" w:cs="Arial"/>
                <w:color w:val="000000"/>
                <w:sz w:val="18"/>
                <w:szCs w:val="18"/>
              </w:rPr>
              <w:fldChar w:fldCharType="begin"/>
            </w:r>
            <w:r w:rsidR="001C71BD">
              <w:rPr>
                <w:rFonts w:ascii="Arial" w:eastAsia="Times New Roman" w:hAnsi="Arial" w:cs="Arial"/>
                <w:color w:val="000000"/>
                <w:sz w:val="18"/>
                <w:szCs w:val="18"/>
                <w:lang w:val="fr-FR"/>
              </w:rPr>
              <w:instrText xml:space="preserve"> ADDIN ZOTERO_ITEM CSL_CITATION {"citationID":"IARpLsLr","properties":{"formattedCitation":"(32)","plainCitation":"(32)","noteIndex":0},"citationItems":[{"id":130,"uris":["http://zotero.org/users/local/Cg9l0yK5/items/TA8CQZJ5"],"itemData":{"id":130,"type":"article-journal","abstract":"PURPOSE: This study aimed to examine whether the Tinagl1 might be associated with ovulation in aged females and reproductive age-associated fibrosis in the stroma of  the ovary. METHODS: To address the ovulatory ability and quality of ovulated  oocytes, we induced ovulation by treatment with equine chorionic gonadotropin (eCG)  and human chorionic gonadotropin (hCG) followed by in vitro fertilization. We also  performed Picrosirius Red (PSR) staining to evaluate ovarian collagen deposition.  RESULTS: As compared to ovulation in 8- to 9-month-old Tinagl1(flox/flox) mice, the  number of ovulated oocytes from Tinagl1(flox/flox) mice decreased in an  age-dependent manner in mice more than 10-11 months old, whereas the ovulated oocyte  numbers in Tinagl1 (-/-) mice decreased significantly at 14-15 months. In vitro  fertilization followed by embryo culture demonstrated the normal developmental  potential of Tinagl1-null embryos during the preimplantation period. PSR staining  indicated that collagen was found throughout the ovarian stroma in an age-dependent  manner in Tinagl1(flox/flox) females, whereas those distributions were delayed to  14-15 months in Tinagl1 (-/-) females. This timing was consistent with the delayed  timing of age-related decline of ovulation in Tinagl1 (-/-) females. CONCLUSIONS:  The alleviation of age-associated depression of ovulation was caused by delayed  ovarian collagen deposition in Tinagl1-null female mice.","container-title":"Reproductive medicine and biology","DOI":"10.1002/rmb2.12301","ISSN":"1445-5781 1447-0578","issue":"1","journalAbbreviation":"Reprod Med Biol","language":"eng","license":"© 2019 The Authors. Reproductive Medicine and Biology published by John Wiley &amp; Sons Australia, Ltd on behalf of Japan Society for Reproductive Medicine.","note":"PMID: 31956285 \nPMCID: PMC6955583","page":"50-57","title":"Tubulointerstitial nephritis antigen-like 1 deficiency alleviates age-dependent depressed ovulation associated with ovarian collagen deposition in mice.","volume":"19","author":[{"family":"Akaiwa","given":"Masato"},{"family":"Fukui","given":"Emiko"},{"family":"Matsumoto","given":"Hiromichi"}],"issued":{"date-parts":[["2020",1]]}}}],"schema":"https://github.com/citation-style-language/schema/raw/master/csl-citation.json"} </w:instrText>
            </w:r>
            <w:r w:rsidRPr="00D50FDC">
              <w:rPr>
                <w:rFonts w:ascii="Arial" w:eastAsia="Times New Roman" w:hAnsi="Arial" w:cs="Arial"/>
                <w:color w:val="000000"/>
                <w:sz w:val="18"/>
                <w:szCs w:val="18"/>
              </w:rPr>
              <w:fldChar w:fldCharType="separate"/>
            </w:r>
            <w:r w:rsidR="001C71BD" w:rsidRPr="001C71BD">
              <w:rPr>
                <w:rFonts w:ascii="Arial" w:hAnsi="Arial" w:cs="Arial"/>
                <w:sz w:val="18"/>
              </w:rPr>
              <w:t>(32)</w:t>
            </w:r>
            <w:r w:rsidRPr="00D50FDC">
              <w:rPr>
                <w:rFonts w:ascii="Arial" w:eastAsia="Times New Roman" w:hAnsi="Arial" w:cs="Arial"/>
                <w:color w:val="000000"/>
                <w:sz w:val="18"/>
                <w:szCs w:val="18"/>
              </w:rPr>
              <w:fldChar w:fldCharType="end"/>
            </w:r>
          </w:p>
        </w:tc>
        <w:tc>
          <w:tcPr>
            <w:tcW w:w="521" w:type="pct"/>
            <w:shd w:val="clear" w:color="auto" w:fill="auto"/>
            <w:noWrap/>
            <w:vAlign w:val="bottom"/>
            <w:hideMark/>
          </w:tcPr>
          <w:p w14:paraId="23D701EF" w14:textId="77777777" w:rsidR="00BF211E" w:rsidRPr="00FB108C" w:rsidRDefault="00BF211E" w:rsidP="00386B4F">
            <w:pPr>
              <w:spacing w:after="0" w:line="240" w:lineRule="auto"/>
              <w:jc w:val="right"/>
              <w:rPr>
                <w:rFonts w:ascii="Arial" w:eastAsia="Times New Roman" w:hAnsi="Arial" w:cs="Arial"/>
                <w:color w:val="000000"/>
                <w:sz w:val="18"/>
                <w:szCs w:val="18"/>
              </w:rPr>
            </w:pPr>
            <w:r w:rsidRPr="00FB108C">
              <w:rPr>
                <w:rFonts w:ascii="Arial" w:hAnsi="Arial" w:cs="Arial"/>
                <w:color w:val="000000"/>
                <w:sz w:val="18"/>
                <w:szCs w:val="18"/>
              </w:rPr>
              <w:t>2.90</w:t>
            </w:r>
          </w:p>
        </w:tc>
        <w:tc>
          <w:tcPr>
            <w:tcW w:w="653" w:type="pct"/>
            <w:vAlign w:val="bottom"/>
          </w:tcPr>
          <w:p w14:paraId="0A71EE91" w14:textId="66520D9B" w:rsidR="00BF211E" w:rsidRPr="008565AB" w:rsidRDefault="00BF211E" w:rsidP="00386B4F">
            <w:pPr>
              <w:spacing w:after="0" w:line="240" w:lineRule="auto"/>
              <w:rPr>
                <w:rFonts w:ascii="Arial" w:eastAsia="Times New Roman" w:hAnsi="Arial" w:cs="Arial"/>
                <w:color w:val="000000"/>
                <w:sz w:val="18"/>
                <w:szCs w:val="18"/>
                <w:lang w:val="fr-FR"/>
              </w:rPr>
            </w:pPr>
            <w:r w:rsidRPr="008565AB">
              <w:rPr>
                <w:rFonts w:ascii="Arial" w:hAnsi="Arial" w:cs="Arial"/>
                <w:color w:val="000000"/>
                <w:sz w:val="18"/>
                <w:szCs w:val="18"/>
              </w:rPr>
              <w:t xml:space="preserve">Neat1 </w:t>
            </w:r>
            <w:r w:rsidRPr="008565AB">
              <w:rPr>
                <w:rFonts w:ascii="Arial" w:eastAsia="Times New Roman" w:hAnsi="Arial" w:cs="Arial"/>
                <w:color w:val="000000"/>
                <w:sz w:val="18"/>
                <w:szCs w:val="18"/>
              </w:rPr>
              <w:fldChar w:fldCharType="begin"/>
            </w:r>
            <w:r w:rsidR="001C71BD">
              <w:rPr>
                <w:rFonts w:ascii="Arial" w:eastAsia="Times New Roman" w:hAnsi="Arial" w:cs="Arial"/>
                <w:color w:val="000000"/>
                <w:sz w:val="18"/>
                <w:szCs w:val="18"/>
                <w:lang w:val="fr-FR"/>
              </w:rPr>
              <w:instrText xml:space="preserve"> ADDIN ZOTERO_ITEM CSL_CITATION {"citationID":"iOzrw5jO","properties":{"formattedCitation":"(33)","plainCitation":"(33)","noteIndex":0},"citationItems":[{"id":134,"uris":["http://zotero.org/users/local/Cg9l0yK5/items/PQ6QD6NM"],"itemData":{"id":134,"type":"article-journal","abstract":"Neat1 is a non-protein-coding RNA that serves as an architectural component of the nuclear bodies known as paraspeckles. Although cell-based studies indicate that  Neat1 is a crucial regulator of gene expression, its physiological relevance remains  unclear. Here, we find that Neat1 knockout (KO) mice stochastically fail to become  pregnant despite normal ovulation. Unilateral transplantation of wild-type ovaries  or the administration of progesterone partially rescued the phenotype, suggesting  that corpus luteum dysfunction and concomitant low progesterone were the primary  causes of the decreased fertility. In contrast to the faint expression observed in  most of the adult tissues, Neat1 was highly expressed in the corpus luteum, and the  formation of luteal tissue was severely impaired in nearly half of the Neat1 KO  mice. These observations suggest that Neat1 is essential for the formation of the  corpus luteum and for the subsequent establishment of pregnancy under a suboptimal  condition that has not yet been identified.","container-title":"Development (Cambridge, England)","DOI":"10.1242/dev.110544","ISSN":"1477-9129 0950-1991","issue":"23","journalAbbreviation":"Development","language":"eng","license":"© 2014. Published by The Company of Biologists Ltd.","note":"PMID: 25359727 \nPMCID: PMC4302932","page":"4618-4627","title":"The lncRNA Neat1 is required for corpus luteum formation and the establishment of pregnancy in a subpopulation of mice.","volume":"141","author":[{"family":"Nakagawa","given":"Shinichi"},{"family":"Shimada","given":"Masayuki"},{"family":"Yanaka","given":"Kaori"},{"family":"Mito","given":"Mari"},{"family":"Arai","given":"Takashi"},{"family":"Takahashi","given":"Eiki"},{"family":"Fujita","given":"Youko"},{"family":"Fujimori","given":"Toshihiko"},{"family":"Standaert","given":"Laura"},{"family":"Marine","given":"Jean-Christophe"},{"family":"Hirose","given":"Tetsuro"}],"issued":{"date-parts":[["2014",12]]}}}],"schema":"https://github.com/citation-style-language/schema/raw/master/csl-citation.json"} </w:instrText>
            </w:r>
            <w:r w:rsidRPr="008565AB">
              <w:rPr>
                <w:rFonts w:ascii="Arial" w:eastAsia="Times New Roman" w:hAnsi="Arial" w:cs="Arial"/>
                <w:color w:val="000000"/>
                <w:sz w:val="18"/>
                <w:szCs w:val="18"/>
              </w:rPr>
              <w:fldChar w:fldCharType="separate"/>
            </w:r>
            <w:r w:rsidRPr="00F94EFD">
              <w:rPr>
                <w:rFonts w:ascii="Arial" w:hAnsi="Arial" w:cs="Arial"/>
                <w:sz w:val="18"/>
              </w:rPr>
              <w:t>(33)</w:t>
            </w:r>
            <w:r w:rsidRPr="008565AB">
              <w:rPr>
                <w:rFonts w:ascii="Arial" w:eastAsia="Times New Roman" w:hAnsi="Arial" w:cs="Arial"/>
                <w:color w:val="000000"/>
                <w:sz w:val="18"/>
                <w:szCs w:val="18"/>
              </w:rPr>
              <w:fldChar w:fldCharType="end"/>
            </w:r>
          </w:p>
        </w:tc>
        <w:tc>
          <w:tcPr>
            <w:tcW w:w="599" w:type="pct"/>
            <w:shd w:val="clear" w:color="auto" w:fill="auto"/>
            <w:noWrap/>
            <w:vAlign w:val="bottom"/>
            <w:hideMark/>
          </w:tcPr>
          <w:p w14:paraId="4FD9E1C1" w14:textId="77777777" w:rsidR="00BF211E" w:rsidRPr="008565AB" w:rsidRDefault="00BF211E" w:rsidP="00386B4F">
            <w:pPr>
              <w:spacing w:after="0" w:line="240" w:lineRule="auto"/>
              <w:jc w:val="right"/>
              <w:rPr>
                <w:rFonts w:ascii="Arial" w:eastAsia="Times New Roman" w:hAnsi="Arial" w:cs="Arial"/>
                <w:color w:val="000000"/>
                <w:sz w:val="18"/>
                <w:szCs w:val="18"/>
              </w:rPr>
            </w:pPr>
            <w:r w:rsidRPr="008565AB">
              <w:rPr>
                <w:rFonts w:ascii="Arial" w:hAnsi="Arial" w:cs="Arial"/>
                <w:color w:val="000000"/>
                <w:sz w:val="18"/>
                <w:szCs w:val="18"/>
              </w:rPr>
              <w:t>2.13</w:t>
            </w:r>
          </w:p>
        </w:tc>
        <w:tc>
          <w:tcPr>
            <w:tcW w:w="747" w:type="pct"/>
            <w:shd w:val="clear" w:color="auto" w:fill="auto"/>
            <w:noWrap/>
            <w:vAlign w:val="bottom"/>
            <w:hideMark/>
          </w:tcPr>
          <w:p w14:paraId="74B681FA" w14:textId="7D4B32A4" w:rsidR="00BF211E" w:rsidRPr="0097360C" w:rsidRDefault="00BF211E" w:rsidP="00386B4F">
            <w:pPr>
              <w:spacing w:after="0" w:line="240" w:lineRule="auto"/>
              <w:rPr>
                <w:rFonts w:ascii="Arial" w:eastAsia="Times New Roman" w:hAnsi="Arial" w:cs="Arial"/>
                <w:color w:val="000000"/>
                <w:sz w:val="18"/>
                <w:szCs w:val="18"/>
                <w:lang w:val="fr-FR"/>
              </w:rPr>
            </w:pPr>
            <w:r w:rsidRPr="0097360C">
              <w:rPr>
                <w:rFonts w:ascii="Arial" w:eastAsia="Times New Roman" w:hAnsi="Arial" w:cs="Arial"/>
                <w:color w:val="000000"/>
                <w:sz w:val="18"/>
                <w:szCs w:val="18"/>
                <w:lang w:val="fr-FR"/>
              </w:rPr>
              <w:t>Ccnb2</w:t>
            </w:r>
            <w:r w:rsidRPr="00D50FDC">
              <w:rPr>
                <w:rFonts w:ascii="Arial" w:eastAsia="Times New Roman" w:hAnsi="Arial" w:cs="Arial"/>
                <w:color w:val="000000"/>
                <w:sz w:val="18"/>
                <w:szCs w:val="18"/>
                <w:lang w:val="fr-FR"/>
              </w:rPr>
              <w:t xml:space="preserve"> </w:t>
            </w:r>
            <w:r w:rsidRPr="00D50FDC">
              <w:rPr>
                <w:rFonts w:ascii="Arial" w:eastAsia="Times New Roman" w:hAnsi="Arial" w:cs="Arial"/>
                <w:color w:val="000000"/>
                <w:sz w:val="18"/>
                <w:szCs w:val="18"/>
                <w:lang w:val="fr-FR"/>
              </w:rPr>
              <w:fldChar w:fldCharType="begin"/>
            </w:r>
            <w:r w:rsidR="001C71BD">
              <w:rPr>
                <w:rFonts w:ascii="Arial" w:eastAsia="Times New Roman" w:hAnsi="Arial" w:cs="Arial"/>
                <w:color w:val="000000"/>
                <w:sz w:val="18"/>
                <w:szCs w:val="18"/>
                <w:lang w:val="fr-FR"/>
              </w:rPr>
              <w:instrText xml:space="preserve"> ADDIN ZOTERO_ITEM CSL_CITATION {"citationID":"TPrITq9r","properties":{"formattedCitation":"(34,35)","plainCitation":"(34,35)","noteIndex":0},"citationItems":[{"id":292,"uris":["http://zotero.org/users/local/Cg9l0yK5/items/89A5RHGI"],"itemData":{"id":292,"type":"article-journal","abstract":"Cyclin-dependent kinase 1 (CDK1) plays a crucial role in establishing metaphase and has also been shown to prevent DNA re-replication. Cyclins B1 and B2 are two known  activators of CDK1 operating during mitosis in human cells. Little is known about  the specific roles of each of these cyclins in CDK1 activation, but cyclin B2 is  thought to play a minor role and to be unable to replace cyclin B1 for mitosis  completion. In our study, we found that severe reduction by separate RNA  interference of either cyclin B1 or cyclin B2 protein levels results in little or no  alteration of the cell cycle and, more specifically, of mitosis progression. In  contrast, simultaneous depletion of both B-type cyclins leads to massive  accumulation of 4N cells, mitotic failure, premature mitosis exit and DNA  re-replication. These defects can be corrected by the ectopic expression of a cyclin  B2 resistant to the short hairpin RNA. Altogether, these data show that, in cycling  human cells, cyclin B2 can compensate for the downregulation of cyclin B1 during  mitosis. They also clearly implicate cyclins B1 and B2 as crucial activators of CDK1  in its biological function of DNA re-replication prevention.","container-title":"Oncogene","DOI":"10.1038/sj.onc.1210539","ISSN":"0950-9232","issue":"51","journalAbbreviation":"Oncogene","language":"eng","note":"publisher-place: England\nPMID: 17533373","page":"7175-7184","title":"Cyclin B2 suppresses mitotic failure and DNA re-replication in human somatic cells knocked down for both cyclins B1 and B2.","volume":"26","author":[{"family":"Bellanger","given":"S."},{"family":"Gramont","given":"A.","non-dropping-particle":"de"},{"family":"Sobczak-Thépot","given":"J."}],"issued":{"date-parts":[["2007",11,8]]}}},{"id":293,"uris":["http://zotero.org/users/local/Cg9l0yK5/items/ZFTWFYGD"],"itemData":{"id":293,"type":"article-journal","abstract":"B cyclins regulate G2-M transition. Because human somatic cells continue to cycle after reduction of cyclin B1 (cycB1) or cyclin B2 (cycB2) by RNA interference  (RNAi), and because cycB2 knockout mice are viable, the existence of two genes  should be an optimization. To explore this idea, we generated HeLa BD™ Tet-Off cell  lines with inducible cyclin B1- or B2-EGFP that were RNAi resistant. Cultures were  treated with RNAi and/or doxycycline (Dox) and bromodeoxyuridine. We measured G2 and  M transit times and 4C cell accumulation. In the absence of ectopic B cyclin  expression, knockdown (kd) of either cyclin increased G2 transit. M transit was  increased by cycB1 kd but decreased by cycB2 depletion. This novel difference was  further supported by time-lapse microscopy. This suggests that cycB2 tunes mitotic  timing, and we speculate that this is through regulation of a Golgi checkpoint. In  the presence of endogenous cyclins, expression of active B cyclin-EGFPs did not  affect G2 or M phase times. As previously shown, B cyclin co-depletion induced G2  arrest. Expression of either B cyclin-EGFP completely rescued knockdown of the  respective endogenous cyclin in single kd experiments, and either cyclin-EGFP  completely rescued endogenous cyclin co-depletion. Most of the rescue occurred at  relatively low levels of exogenous cyclin expression. Therefore, cycB1 and cycB2 are  interchangeable for ability to promote G2 and M transition in this experimental  setting. Cyclin B1 is thought to be required for the mammalian somatic cell cycle,  while cyclin B2 is thought to be dispensable. However, residual levels of cyclin B1  or cyclin B2 in double knockdown experiments are not sufficient to promote  successful mitosis, yet residual levels are sufficient to promote mitosis in the  presence of the dispensible cyclin B2. We discuss a simple model that would explain  most data if cyclin B1 is necessary.","container-title":"PloS one","DOI":"10.1371/journal.pone.0080861","ISSN":"1932-6203","issue":"12","journalAbbreviation":"PLoS One","language":"eng","note":"PMID: 24324638 \nPMCID: PMC3851588","page":"e80861","title":"The kinetics of G2 and M transitions regulated by B cyclins.","volume":"8","author":[{"family":"Huang","given":"Yehong"},{"family":"Sramkoski","given":"R. Michael"},{"family":"Jacobberger","given":"James W."}],"issued":{"date-parts":[["2013"]]}}}],"schema":"https://github.com/citation-style-language/schema/raw/master/csl-citation.json"} </w:instrText>
            </w:r>
            <w:r w:rsidRPr="00D50FDC">
              <w:rPr>
                <w:rFonts w:ascii="Arial" w:eastAsia="Times New Roman" w:hAnsi="Arial" w:cs="Arial"/>
                <w:color w:val="000000"/>
                <w:sz w:val="18"/>
                <w:szCs w:val="18"/>
                <w:lang w:val="fr-FR"/>
              </w:rPr>
              <w:fldChar w:fldCharType="separate"/>
            </w:r>
            <w:r w:rsidR="001C71BD" w:rsidRPr="001C71BD">
              <w:rPr>
                <w:rFonts w:ascii="Arial" w:hAnsi="Arial" w:cs="Arial"/>
                <w:sz w:val="18"/>
              </w:rPr>
              <w:t>(34,35)</w:t>
            </w:r>
            <w:r w:rsidRPr="00D50FDC">
              <w:rPr>
                <w:rFonts w:ascii="Arial" w:eastAsia="Times New Roman" w:hAnsi="Arial" w:cs="Arial"/>
                <w:color w:val="000000"/>
                <w:sz w:val="18"/>
                <w:szCs w:val="18"/>
                <w:lang w:val="fr-FR"/>
              </w:rPr>
              <w:fldChar w:fldCharType="end"/>
            </w:r>
          </w:p>
        </w:tc>
        <w:tc>
          <w:tcPr>
            <w:tcW w:w="488" w:type="pct"/>
            <w:shd w:val="clear" w:color="auto" w:fill="auto"/>
            <w:noWrap/>
            <w:vAlign w:val="bottom"/>
            <w:hideMark/>
          </w:tcPr>
          <w:p w14:paraId="18A53DFF" w14:textId="77777777" w:rsidR="00BF211E" w:rsidRPr="0097360C" w:rsidRDefault="00BF211E" w:rsidP="00386B4F">
            <w:pPr>
              <w:spacing w:after="0" w:line="240" w:lineRule="auto"/>
              <w:jc w:val="right"/>
              <w:rPr>
                <w:rFonts w:ascii="Arial" w:eastAsia="Times New Roman" w:hAnsi="Arial" w:cs="Arial"/>
                <w:color w:val="000000"/>
                <w:sz w:val="18"/>
                <w:szCs w:val="18"/>
              </w:rPr>
            </w:pPr>
            <w:r w:rsidRPr="00A60B9C">
              <w:rPr>
                <w:rFonts w:ascii="Arial" w:hAnsi="Arial" w:cs="Arial"/>
                <w:color w:val="000000"/>
                <w:sz w:val="18"/>
                <w:szCs w:val="18"/>
              </w:rPr>
              <w:t>1.94</w:t>
            </w:r>
          </w:p>
        </w:tc>
        <w:tc>
          <w:tcPr>
            <w:tcW w:w="750" w:type="pct"/>
            <w:vAlign w:val="bottom"/>
          </w:tcPr>
          <w:p w14:paraId="164821F3" w14:textId="5D64C6F3" w:rsidR="00BF211E" w:rsidRPr="0097360C" w:rsidRDefault="00BF211E" w:rsidP="00386B4F">
            <w:pPr>
              <w:spacing w:after="0" w:line="240" w:lineRule="auto"/>
              <w:rPr>
                <w:rFonts w:ascii="Arial" w:eastAsia="Times New Roman" w:hAnsi="Arial" w:cs="Arial"/>
                <w:color w:val="000000"/>
                <w:sz w:val="18"/>
                <w:szCs w:val="18"/>
                <w:lang w:val="fr-FR"/>
              </w:rPr>
            </w:pPr>
            <w:proofErr w:type="spellStart"/>
            <w:r>
              <w:rPr>
                <w:rFonts w:ascii="Calibri" w:hAnsi="Calibri" w:cs="Calibri"/>
                <w:color w:val="000000"/>
              </w:rPr>
              <w:t>Ptgfr</w:t>
            </w:r>
            <w:proofErr w:type="spellEnd"/>
            <w:r>
              <w:rPr>
                <w:rFonts w:ascii="Calibri" w:hAnsi="Calibri" w:cs="Calibri"/>
                <w:color w:val="000000"/>
              </w:rPr>
              <w:t xml:space="preserve"> </w:t>
            </w:r>
            <w:r w:rsidRPr="00D50FDC">
              <w:rPr>
                <w:rFonts w:ascii="Arial" w:eastAsia="Times New Roman" w:hAnsi="Arial" w:cs="Arial"/>
                <w:color w:val="000000"/>
                <w:sz w:val="18"/>
                <w:szCs w:val="18"/>
                <w:lang w:val="fr-FR"/>
              </w:rPr>
              <w:fldChar w:fldCharType="begin"/>
            </w:r>
            <w:r w:rsidR="001C71BD">
              <w:rPr>
                <w:rFonts w:ascii="Arial" w:eastAsia="Times New Roman" w:hAnsi="Arial" w:cs="Arial"/>
                <w:color w:val="000000"/>
                <w:sz w:val="18"/>
                <w:szCs w:val="18"/>
                <w:lang w:val="fr-FR"/>
              </w:rPr>
              <w:instrText xml:space="preserve"> ADDIN ZOTERO_ITEM CSL_CITATION {"citationID":"esXk8Zdz","properties":{"formattedCitation":"(13,36)","plainCitation":"(13,36)","noteIndex":0},"citationItems":[{"id":95,"uris":["http://zotero.org/users/local/Cg9l0yK5/items/C47RTVGE"],"itemData":{"id":95,"type":"article-journal","abstract":"The theca interna is a specialized stromal layer that envelops each growing ovarian follicle. It contains capillaries, fibroblasts, immune cells and the steroidogenic  cells that synthesize androgens for conversion to estradiol by the neighboring  granulosa cells. During reproductive life only a small number of follicles will grow  to a sufficient size to ovulate, whereas the majority of follicles will undergo  regression/atresia and phagocytosis by macrophages. To identify genes which are  differentially regulated in the theca interna during follicular atresia, we  undertook transcriptome profiling of the theca interna from healthy (n = 10) and  antral atretic (n = 5) bovine follicles at early antral stages (&lt;5 mm). Principal  Component Analyses and hierarchical classification of the signal intensity plots for  the arrays showed primary clustering into two groups, healthy and atretic. A total  of 543 probe sets were differentially expressed between the atretic and healthy  theca interna. Further analyses of these genes by Ingenuity Pathway Analysis and  Gene Ontology Enrichment Analysis Toolkit software found most of the genes being  expressed were related to cytokines, hormones and receptors as well as the cell  cycle and DNA replication. Cell cycle genes which encode components of the  replicating chromosome complex and mitotic spindle were down-regulated in atretic  theca interna, whereas stress response and inflammation-related genes such as TP53,  IKBKB and TGFB1 were up-regulated. In addition to cell cycle regulators, upstream  regulators that were predicted to be inhibited included Retinoblastoma 1, E2  transcription factor 1, and hepatocyte growth factor. Our study suggests that during  antral atresia of small follicles in the theca interna, arrest of cell cycle and DNA  replication occurs rather than up- regulation of apoptosis-associated genes as  occurs in granulosa cells.","container-title":"PloS one","DOI":"10.1371/journal.pone.0099706","ISSN":"1932-6203","issue":"6","journalAbbreviation":"PLoS One","language":"eng","note":"PMID: 24956388 \nPMCID: PMC4067288","page":"e99706","title":"Transcriptome profiling of the theca interna from bovine ovarian follicles during atresia.","volume":"9","author":[{"family":"Hatzirodos","given":"Nicholas"},{"family":"Irving-Rodgers","given":"Helen F."},{"family":"Hummitzsch","given":"Katja"},{"family":"Rodgers","given":"Raymond J."}],"issued":{"date-parts":[["2014"]]}}},{"id":265,"uris":["http://zotero.org/users/local/Cg9l0yK5/items/BUEJQD2H"],"itemData":{"id":265,"type":"article-journal","abstract":"The aim of this study was to characterize the regulation pattern of prostaglandin family members namely prostaglandin F2alpha (PTGF), prostaglandin E2 (PTGE), their  receptors (PTGFR, PTGER2, PTGER4), cyclooxygenase 2 (COX-2), PTGF synthase (PTGFS),  and PTGE synthase (PTGES) in the bovine follicles during preovulatory period and  early corpus luteum (CL). Ovaries containing preovulatory follicles or CL were  collected by transvaginal ovariectomy (n = 5 cows/group), and the follicles were  classified: (I) before GnRH treatment; (II) 4 h after GnRH; (III) 10 h after GnRH;  (IV) 20 h after GnRH; (V) 25 h after GnRH, and (VI) 60 h after GnRH (early CL). In  these samples, the concentrations of progesterone (P4), estradiol (E2), PTGF and  PTGE were investigated in the follicular fluid (FF) by validated EIA. Relative mRNA  abundance of genes encoding for prostaglandin receptors (PTGFR, PTGER2, PTGER4),  COX-2, PTGFS and PTGES were quantified by RT-qPCR. The localization of COX-2 and  PTGES were investigated by established immunohistochemistry in fixed follicular and  CL tissue samples. The high E2 concentration in the FF of the follicle group before  GnRH treatment (495.8 ng/ml) and during luteinizing hormone (LH) surge (4 h after  GnRH, 574.36 ng/ml), is followed by a significant (P&lt;0.05) downregulation afterwards  with the lowest level during ovulation (25 h after GnRH, 53.11 ng/ml). In contrast  the concentration of P4 was very low before LH surge (50.64 mg/ml) followed by a  significant upregulation (P &lt; 0.05) during ovulation (537.18 ng/ml). The mRNA  expression of COX-2 increased significantely (P &lt; 0.05) 4 h after GnRH and again 20  h after GnRH, followed by a significant decrease (P &lt; 0.05) after ovulation (early  CL). The mRNA of PTGFS in follicles before GnRH was high followed by a continuous  and significant downregulation (P &lt; 0.05) afterwards. In contrast, PTGES mRNA  abundance increased significantely (P &lt; 0.05) in follicles 20 h after GnRH treatment  and remained high afterwards. The mRNA abundance of PTGFR, PTGER2, and PTGER4 in  follicles before GnRH was high, followed by a continuous and significant down  regulation afterwards and significant increase (P &lt; 0.05) only after ovulation  (early CL). The low concentration of PTGF (0.04 ng/ml) and PTGE (0.15 ng/ml) in FF  before GnRH, increased continuously in follicle groups before ovulation and  displayed a further significant and dramatic increase (P &lt; 0.05) around ovulation  (101.01 ng/ml, respectively, 484.21 ng/ml). Immunohistochemically, the granulosa  cells showed an intensive signal for COX-2 and PTGES in follicles during  preovulation and in granulosa-luteal cells of the early CL. In conclusion, our  results indicate that the examined bovine prostaglandin family members are involved  in the local mechanisms regulating final follicle maturation and ovulation during  the folliculo-luteal transition and CL formation.","container-title":"Frontiers in endocrinology","DOI":"10.3389/fendo.2019.00467","ISSN":"1664-2392","journalAbbreviation":"Front Endocrinol (Lausanne)","language":"eng","note":"PMID: 31354631 \nPMCID: PMC6635559","page":"467","title":"Prostaglandins in Superovulation Induced Bovine Follicles During the Preovulatory Period and Early Corpus Luteum.","volume":"10","author":[{"family":"Berisha","given":"Bajram"},{"family":"Rodler","given":"Daniela"},{"family":"Schams","given":"Dieter"},{"family":"Sinowatz","given":"Fred"},{"family":"Pfaffl","given":"Michael W."}],"issued":{"date-parts":[["2019"]]}}}],"schema":"https://github.com/citation-style-language/schema/raw/master/csl-citation.json"} </w:instrText>
            </w:r>
            <w:r w:rsidRPr="00D50FDC">
              <w:rPr>
                <w:rFonts w:ascii="Arial" w:eastAsia="Times New Roman" w:hAnsi="Arial" w:cs="Arial"/>
                <w:color w:val="000000"/>
                <w:sz w:val="18"/>
                <w:szCs w:val="18"/>
                <w:lang w:val="fr-FR"/>
              </w:rPr>
              <w:fldChar w:fldCharType="separate"/>
            </w:r>
            <w:r w:rsidR="001C71BD" w:rsidRPr="001C71BD">
              <w:rPr>
                <w:rFonts w:ascii="Arial" w:hAnsi="Arial" w:cs="Arial"/>
                <w:sz w:val="18"/>
              </w:rPr>
              <w:t>(13,36)</w:t>
            </w:r>
            <w:r w:rsidRPr="00D50FDC">
              <w:rPr>
                <w:rFonts w:ascii="Arial" w:eastAsia="Times New Roman" w:hAnsi="Arial" w:cs="Arial"/>
                <w:color w:val="000000"/>
                <w:sz w:val="18"/>
                <w:szCs w:val="18"/>
                <w:lang w:val="fr-FR"/>
              </w:rPr>
              <w:fldChar w:fldCharType="end"/>
            </w:r>
          </w:p>
        </w:tc>
        <w:tc>
          <w:tcPr>
            <w:tcW w:w="480" w:type="pct"/>
            <w:shd w:val="clear" w:color="auto" w:fill="auto"/>
            <w:noWrap/>
            <w:vAlign w:val="bottom"/>
            <w:hideMark/>
          </w:tcPr>
          <w:p w14:paraId="684B3799" w14:textId="77777777" w:rsidR="00BF211E" w:rsidRPr="00FB108C" w:rsidRDefault="00BF211E" w:rsidP="00386B4F">
            <w:pPr>
              <w:spacing w:after="0" w:line="240" w:lineRule="auto"/>
              <w:jc w:val="right"/>
              <w:rPr>
                <w:rFonts w:ascii="Arial" w:eastAsia="Times New Roman" w:hAnsi="Arial" w:cs="Arial"/>
                <w:color w:val="000000"/>
                <w:sz w:val="18"/>
                <w:szCs w:val="18"/>
              </w:rPr>
            </w:pPr>
            <w:r w:rsidRPr="00FB108C">
              <w:rPr>
                <w:rFonts w:ascii="Arial" w:hAnsi="Arial" w:cs="Arial"/>
                <w:color w:val="000000"/>
                <w:sz w:val="18"/>
                <w:szCs w:val="18"/>
              </w:rPr>
              <w:t>2.74</w:t>
            </w:r>
          </w:p>
        </w:tc>
      </w:tr>
      <w:tr w:rsidR="001C71BD" w:rsidRPr="0097360C" w14:paraId="3BA7525D" w14:textId="77777777" w:rsidTr="00386B4F">
        <w:trPr>
          <w:trHeight w:val="290"/>
        </w:trPr>
        <w:tc>
          <w:tcPr>
            <w:tcW w:w="761" w:type="pct"/>
            <w:vAlign w:val="bottom"/>
          </w:tcPr>
          <w:p w14:paraId="3E714B51" w14:textId="4DA4AFA5" w:rsidR="00BF211E" w:rsidRPr="0097360C" w:rsidRDefault="00BF211E" w:rsidP="00386B4F">
            <w:pPr>
              <w:spacing w:after="0" w:line="240" w:lineRule="auto"/>
              <w:rPr>
                <w:rFonts w:ascii="Arial" w:eastAsia="Times New Roman" w:hAnsi="Arial" w:cs="Arial"/>
                <w:color w:val="000000"/>
                <w:sz w:val="18"/>
                <w:szCs w:val="18"/>
                <w:lang w:val="fr-FR"/>
              </w:rPr>
            </w:pPr>
            <w:r>
              <w:rPr>
                <w:rFonts w:ascii="Calibri" w:hAnsi="Calibri" w:cs="Calibri"/>
                <w:color w:val="000000"/>
              </w:rPr>
              <w:t xml:space="preserve">Adamts1 </w:t>
            </w:r>
            <w:r w:rsidRPr="00D50FDC">
              <w:rPr>
                <w:rFonts w:ascii="Arial" w:eastAsia="Times New Roman" w:hAnsi="Arial" w:cs="Arial"/>
                <w:color w:val="000000"/>
                <w:sz w:val="18"/>
                <w:szCs w:val="18"/>
                <w:lang w:val="fr-FR"/>
              </w:rPr>
              <w:fldChar w:fldCharType="begin"/>
            </w:r>
            <w:r w:rsidR="001C71BD">
              <w:rPr>
                <w:rFonts w:ascii="Arial" w:eastAsia="Times New Roman" w:hAnsi="Arial" w:cs="Arial"/>
                <w:color w:val="000000"/>
                <w:sz w:val="18"/>
                <w:szCs w:val="18"/>
                <w:lang w:val="fr-FR"/>
              </w:rPr>
              <w:instrText xml:space="preserve"> ADDIN ZOTERO_ITEM CSL_CITATION {"citationID":"DpGvCIY9","properties":{"formattedCitation":"(11,37)","plainCitation":"(11,37)","noteIndex":0},"citationItems":[{"id":81,"uris":["http://zotero.org/users/local/Cg9l0yK5/items/L7C2IXJI"],"itemData":{"id":81,"type":"article-journal","abstract":"BACKGROUND: Ovulation and luteinization of follicles are complex biological processes initiated by the preovulatory luteinizing hormone surge. The objective of  this study was to identify genes that are differentially expressed in bovine  granulosa cells (GC) of ovulatory follicles. METHODS: Granulosa cells were collected  during the first follicular wave of the bovine estrous cycle from dominant follicles  (DF) and from ovulatory follicles (OF) obtained 24 h following injection of human  chorionic gonadotropin (hCG). A granulosa cell subtracted cDNA library (OF-DF) was  generated using suppression subtractive hybridization and screened. RESULTS:  Detection of genes known to be upregulated in bovine GC during ovulation, such as  ADAMTS1, CAV1, EGR1, MMP1, PLAT, PLA2G4A, PTGES, PTGS2, RGS2, TIMP1, TNFAIP6 and  VNN2 validated the physiological model and analytical techniques used. For a subset  of genes that were identified for the first time, gene expression profiles were  further compared by semiquantitative RT-PCR in follicles obtained at different  developmental stages. Results confirmed an induction or upregulation of the  respective mRNAs in GC of OF 24 h after hCG-injection compared with those of DF for  the following genes: ADAMTS9, ARAF, CAPN2, CRISPLD2, FKBP5, GFPT2, KIT, KITLG,  L3MBLT3, MRO, NUDT10, NUDT11, P4HA3, POSTN, PSAP, RBP1, SAT1, SDC4, TIMP2, TNC and  USP53. In bovine GC, CRISPLD2 and POSTN mRNA were found as full-length transcript  whereas L3MBLT3 mRNA was alternatively spliced resulting in a truncated protein  missing the carboxy-terminal end amino acids, (774)KNSHNEL(780). Conversely, L3MBLT3  is expressed as a full-length mRNA in a bovine endometrial cell line. The  (774)KNSHNEL(780) sequence is well conserved in all mammalian species and follows a  SAM domain known to confer protein/protein interactions, which suggest a key  function for these amino acids in the epigenetic control of gene expression.  CONCLUSIONS: We conclude that we have identified novel genes that are upregulated by  hCG in bovine GC of OF, thereby providing novel insight into peri-ovulatory  regulation of genes that contribute to ovulation and/or luteinization processes.","container-title":"Reproductive biology and endocrinology : RB&amp;E","DOI":"10.1186/s12958-017-0306-x","ISSN":"1477-7827","issue":"1","journalAbbreviation":"Reprod Biol Endocrinol","language":"eng","note":"PMID: 29100496 \nPMCID: PMC5670713","page":"88","title":"Gene expression profiling of upregulated mRNAs in granulosa cells of bovine ovulatory follicles following stimulation with hCG.","volume":"15","author":[{"family":"Lussier","given":"Jacques G."},{"family":"Diouf","given":"Mame N."},{"family":"Lévesque","given":"Valérie"},{"family":"Sirois","given":"Jean"},{"family":"Ndiaye","given":"Kalidou"}],"issued":{"date-parts":[["2017",11,3]]}}},{"id":66,"uris":["http://zotero.org/users/local/Cg9l0yK5/items/FA99HEPE"],"itemData":{"id":66,"type":"article-journal","abstract":"The ovulatory process involves a complex remodeling of the extracellular matrix during which a desintegrin and metalloproteinase with thrombospondin motif 1  (ADAMTS1) is thought to play a key role, but its transcriptional regulation in  bovine follicles remains largely unknown. The objectives of this study were to  characterize the regulation of ADAMTS1 in bovine follicles before ovulation and to  determine its transcriptional control in bovine granulosa cells. Regulation of  ADAMTS1 was assessed using total RNA isolated from bovine preovulatory follicles  obtained at various times after human chorionic gonadotropin treatment. Results from  RT-PCR analyses showed that levels of ADAMTS1 mRNA were very low at 0 hours but  increased at 6 to 24 hours after human chorionic gonadotropin in granulosa cells. To  determine the regulatory mechanisms controlling ADAMTS1 gene expression in vitro,  primary cultures of bovine granulosa cells were established, and treatment with  forskolin up-regulated ADAMTS1 mRNA levels. Promoter activity assays, 5'-deletion,  and site-directed mutagenesis identified a minimal region conferring full-length  basal and forskolin-stimulated ADAMTS1 promoter activities, with both being  dependent on Ebox cis-acting elements. EMSAs revealed upstream stimulating factor  (USF) proteins as key trans-activating factors interacting with Ebox. Chromatin  immunoprecipitation assays confirmed such interactions between USF and Ebox in vivo,  and USF binding to Ebox elements was increased by forskolin treatment. ADAMTS1  promoter activity and mRNA expression were increased by forskolin and overexpression  of the catalytic subunit of protein kinase A, but not by cotreatment with inhibitors  of protein kinase A, ERK1/2, and epidermal growth factor receptor signaling  pathways. Furthermore, treatment with a soluble epidermal growth factor induced  ADAMTS1 mRNA expression in granulosa cells. Collectively, results from this study  describe the gonadotropin/forskolin-dependent up-regulation of ADAMTS1 mRNA in  granulosa cells of bovine preovulatory follicles in vivo and in vitro and identify  for the first time some of the molecular mechanisms responsible for ADAMTS1 promoter  activation in follicular cells of a large monoovulatory species.","container-title":"Endocrinology","DOI":"10.1210/en.2013-1140","ISSN":"1945-7170 0013-7227","issue":"8","journalAbbreviation":"Endocrinology","language":"eng","note":"publisher-place: United States\nPMID: 23751874","page":"2857-2869","title":"Molecular characterization and transcriptional regulation of a disintegrin and metalloproteinase with thrombospondin motif 1 (ADAMTS1) in bovine preovulatory  follicles.","volume":"154","author":[{"family":"Sayasith","given":"Khampoun"},{"family":"Lussier","given":"Jacques"},{"family":"Sirois","given":"Jean"}],"issued":{"date-parts":[["2013",8]]}}}],"schema":"https://github.com/citation-style-language/schema/raw/master/csl-citation.json"} </w:instrText>
            </w:r>
            <w:r w:rsidRPr="00D50FDC">
              <w:rPr>
                <w:rFonts w:ascii="Arial" w:eastAsia="Times New Roman" w:hAnsi="Arial" w:cs="Arial"/>
                <w:color w:val="000000"/>
                <w:sz w:val="18"/>
                <w:szCs w:val="18"/>
                <w:lang w:val="fr-FR"/>
              </w:rPr>
              <w:fldChar w:fldCharType="separate"/>
            </w:r>
            <w:r w:rsidR="001C71BD" w:rsidRPr="001C71BD">
              <w:rPr>
                <w:rFonts w:ascii="Arial" w:hAnsi="Arial" w:cs="Arial"/>
                <w:sz w:val="18"/>
              </w:rPr>
              <w:t>(11,37)</w:t>
            </w:r>
            <w:r w:rsidRPr="00D50FDC">
              <w:rPr>
                <w:rFonts w:ascii="Arial" w:eastAsia="Times New Roman" w:hAnsi="Arial" w:cs="Arial"/>
                <w:color w:val="000000"/>
                <w:sz w:val="18"/>
                <w:szCs w:val="18"/>
                <w:lang w:val="fr-FR"/>
              </w:rPr>
              <w:fldChar w:fldCharType="end"/>
            </w:r>
          </w:p>
        </w:tc>
        <w:tc>
          <w:tcPr>
            <w:tcW w:w="521" w:type="pct"/>
            <w:shd w:val="clear" w:color="auto" w:fill="auto"/>
            <w:noWrap/>
            <w:vAlign w:val="bottom"/>
            <w:hideMark/>
          </w:tcPr>
          <w:p w14:paraId="1B632770" w14:textId="77777777" w:rsidR="00BF211E" w:rsidRPr="00FB108C" w:rsidRDefault="00BF211E" w:rsidP="00386B4F">
            <w:pPr>
              <w:spacing w:after="0" w:line="240" w:lineRule="auto"/>
              <w:jc w:val="right"/>
              <w:rPr>
                <w:rFonts w:ascii="Arial" w:eastAsia="Times New Roman" w:hAnsi="Arial" w:cs="Arial"/>
                <w:color w:val="000000"/>
                <w:sz w:val="18"/>
                <w:szCs w:val="18"/>
                <w:lang w:val="fr-FR"/>
              </w:rPr>
            </w:pPr>
            <w:r w:rsidRPr="00FB108C">
              <w:rPr>
                <w:rFonts w:ascii="Arial" w:hAnsi="Arial" w:cs="Arial"/>
                <w:color w:val="000000"/>
                <w:sz w:val="18"/>
                <w:szCs w:val="18"/>
              </w:rPr>
              <w:t>2.50</w:t>
            </w:r>
          </w:p>
        </w:tc>
        <w:tc>
          <w:tcPr>
            <w:tcW w:w="653" w:type="pct"/>
            <w:vAlign w:val="bottom"/>
          </w:tcPr>
          <w:p w14:paraId="45ECB254" w14:textId="279C0203" w:rsidR="00BF211E" w:rsidRPr="008565AB" w:rsidRDefault="00BF211E" w:rsidP="00386B4F">
            <w:pPr>
              <w:spacing w:after="0" w:line="240" w:lineRule="auto"/>
              <w:rPr>
                <w:rFonts w:ascii="Arial" w:eastAsia="Times New Roman" w:hAnsi="Arial" w:cs="Arial"/>
                <w:color w:val="000000"/>
                <w:sz w:val="18"/>
                <w:szCs w:val="18"/>
              </w:rPr>
            </w:pPr>
            <w:r w:rsidRPr="008565AB">
              <w:rPr>
                <w:rFonts w:ascii="Arial" w:hAnsi="Arial" w:cs="Arial"/>
                <w:color w:val="000000"/>
                <w:sz w:val="18"/>
                <w:szCs w:val="18"/>
              </w:rPr>
              <w:t xml:space="preserve">Col3a1 </w:t>
            </w:r>
            <w:r w:rsidRPr="008565AB">
              <w:rPr>
                <w:rFonts w:ascii="Arial" w:eastAsia="Times New Roman" w:hAnsi="Arial" w:cs="Arial"/>
                <w:color w:val="000000"/>
                <w:sz w:val="18"/>
                <w:szCs w:val="18"/>
                <w:lang w:val="fr-FR"/>
              </w:rPr>
              <w:fldChar w:fldCharType="begin"/>
            </w:r>
            <w:r w:rsidR="001C71BD">
              <w:rPr>
                <w:rFonts w:ascii="Arial" w:eastAsia="Times New Roman" w:hAnsi="Arial" w:cs="Arial"/>
                <w:color w:val="000000"/>
                <w:sz w:val="18"/>
                <w:szCs w:val="18"/>
              </w:rPr>
              <w:instrText xml:space="preserve"> ADDIN ZOTERO_ITEM CSL_CITATION {"citationID":"FZBR5B7S","properties":{"formattedCitation":"(3)","plainCitation":"(3)","noteIndex":0},"citationItems":[{"id":54,"uris":["http://zotero.org/users/local/Cg9l0yK5/items/YKGGLU2B"],"itemData":{"id":54,"type":"article-journal","abstract":"Cumulus cells and mural granulosa cells (MGCs) have functionally distinct roles in antral follicles, and comparison of their transcriptomes at a global and systems  level can propel future studies on mechanisms underlying their functional diversity.  These cells were isolated from small and large antral follicles before and after  stimulation of immature mice with gonadotropins, respectively. Both cell types  underwent dramatic transcriptomic changes, and differences between them increased  with follicular growth. Although cumulus cells of both stages of follicular  development are competent to undergo expansion in vitro, they were otherwise  remarkably dissimilar with transcriptomic changes quantitatively equivalent to those  of MGCs. Gene ontology analysis revealed that cumulus cells of small follicles were  enriched in transcripts generally associated with catalytic components of metabolic  processes, while those from large follicles were involved in regulation of  metabolism, cell differentiation, and adhesion. Contrast of cumulus cells versus  MGCs revealed that cumulus cells were enriched in transcripts associated with  metabolism and cell proliferation while MGCs were enriched for transcripts involved  in cell signaling and differentiation. In vitro and in vivo models were used to test  the hypothesis that higher levels of transcripts in cumulus cells versus MGCs is the  result of stimulation by oocyte-derived paracrine factors (ODPFs). Surprisingly </w:instrText>
            </w:r>
            <w:r w:rsidR="001C71BD">
              <w:rPr>
                <w:rFonts w:ascii="Cambria Math" w:eastAsia="Times New Roman" w:hAnsi="Cambria Math" w:cs="Cambria Math"/>
                <w:color w:val="000000"/>
                <w:sz w:val="18"/>
                <w:szCs w:val="18"/>
              </w:rPr>
              <w:instrText>∼</w:instrText>
            </w:r>
            <w:r w:rsidR="001C71BD">
              <w:rPr>
                <w:rFonts w:ascii="Arial" w:eastAsia="Times New Roman" w:hAnsi="Arial" w:cs="Arial"/>
                <w:color w:val="000000"/>
                <w:sz w:val="18"/>
                <w:szCs w:val="18"/>
              </w:rPr>
              <w:instrText xml:space="preserve">48%  of transcripts higher in cumulus cells than MGCs were not stimulated by ODPFs. Those  stimulated by ODPFs were mainly associated with cell division, mRNA processing, or  the catalytic pathways of metabolism, while those not stimulated by ODPFs were  associated with regulatory processes such as signaling, transcription,  phosphorylation, or the regulation of metabolism.","container-title":"Biology of reproduction","DOI":"10.1095/biolreprod.114.121756","ISSN":"1529-7268 0006-3363","issue":"1","journalAbbreviation":"Biol Reprod","language":"eng","license":"© 2015 by the Society for the Study of Reproduction, Inc.","note":"PMID: 25376232 \nPMCID: PMC4434932","page":"23","title":"Transcriptomic diversification of developing cumulus and mural granulosa cells in mouse ovarian follicles.","volume":"92","author":[{"family":"Wigglesworth","given":"Karen"},{"family":"Lee","given":"Kyung-Bon"},{"family":"Emori","given":"Chihiro"},{"family":"Sugiura","given":"Koji"},{"family":"Eppig","given":"John J."}],"issued":{"date-parts":[["2015",1]]}}}],"schema":"https://github.com/citation-style-language/schema/raw/master/csl-citation.json"} </w:instrText>
            </w:r>
            <w:r w:rsidRPr="008565AB">
              <w:rPr>
                <w:rFonts w:ascii="Arial" w:eastAsia="Times New Roman" w:hAnsi="Arial" w:cs="Arial"/>
                <w:color w:val="000000"/>
                <w:sz w:val="18"/>
                <w:szCs w:val="18"/>
                <w:lang w:val="fr-FR"/>
              </w:rPr>
              <w:fldChar w:fldCharType="separate"/>
            </w:r>
            <w:r w:rsidR="001C71BD" w:rsidRPr="001C71BD">
              <w:rPr>
                <w:rFonts w:ascii="Arial" w:hAnsi="Arial" w:cs="Arial"/>
                <w:sz w:val="18"/>
              </w:rPr>
              <w:t>(3)</w:t>
            </w:r>
            <w:r w:rsidRPr="008565AB">
              <w:rPr>
                <w:rFonts w:ascii="Arial" w:eastAsia="Times New Roman" w:hAnsi="Arial" w:cs="Arial"/>
                <w:color w:val="000000"/>
                <w:sz w:val="18"/>
                <w:szCs w:val="18"/>
                <w:lang w:val="fr-FR"/>
              </w:rPr>
              <w:fldChar w:fldCharType="end"/>
            </w:r>
          </w:p>
        </w:tc>
        <w:tc>
          <w:tcPr>
            <w:tcW w:w="599" w:type="pct"/>
            <w:shd w:val="clear" w:color="auto" w:fill="auto"/>
            <w:noWrap/>
            <w:vAlign w:val="bottom"/>
            <w:hideMark/>
          </w:tcPr>
          <w:p w14:paraId="248214A9" w14:textId="77777777" w:rsidR="00BF211E" w:rsidRPr="008565AB" w:rsidRDefault="00BF211E" w:rsidP="00386B4F">
            <w:pPr>
              <w:spacing w:after="0" w:line="240" w:lineRule="auto"/>
              <w:jc w:val="right"/>
              <w:rPr>
                <w:rFonts w:ascii="Arial" w:eastAsia="Times New Roman" w:hAnsi="Arial" w:cs="Arial"/>
                <w:color w:val="000000"/>
                <w:sz w:val="18"/>
                <w:szCs w:val="18"/>
                <w:lang w:val="fr-FR"/>
              </w:rPr>
            </w:pPr>
            <w:r w:rsidRPr="008565AB">
              <w:rPr>
                <w:rFonts w:ascii="Arial" w:hAnsi="Arial" w:cs="Arial"/>
                <w:color w:val="000000"/>
                <w:sz w:val="18"/>
                <w:szCs w:val="18"/>
              </w:rPr>
              <w:t>2.09</w:t>
            </w:r>
          </w:p>
        </w:tc>
        <w:tc>
          <w:tcPr>
            <w:tcW w:w="747" w:type="pct"/>
            <w:shd w:val="clear" w:color="auto" w:fill="auto"/>
            <w:noWrap/>
            <w:vAlign w:val="bottom"/>
            <w:hideMark/>
          </w:tcPr>
          <w:p w14:paraId="2D5F7090" w14:textId="4D34FC37" w:rsidR="00BF211E" w:rsidRPr="0097360C" w:rsidRDefault="00BF211E" w:rsidP="00386B4F">
            <w:pPr>
              <w:spacing w:after="0" w:line="240" w:lineRule="auto"/>
              <w:rPr>
                <w:rFonts w:ascii="Arial" w:eastAsia="Times New Roman" w:hAnsi="Arial" w:cs="Arial"/>
                <w:color w:val="000000"/>
                <w:sz w:val="18"/>
                <w:szCs w:val="18"/>
                <w:lang w:val="fr-FR"/>
              </w:rPr>
            </w:pPr>
            <w:r w:rsidRPr="0097360C">
              <w:rPr>
                <w:rFonts w:ascii="Arial" w:eastAsia="Times New Roman" w:hAnsi="Arial" w:cs="Arial"/>
                <w:color w:val="000000"/>
                <w:sz w:val="18"/>
                <w:szCs w:val="18"/>
                <w:lang w:val="fr-FR"/>
              </w:rPr>
              <w:t>Ube2c</w:t>
            </w:r>
            <w:r w:rsidRPr="00D50FDC">
              <w:rPr>
                <w:rFonts w:ascii="Arial" w:eastAsia="Times New Roman" w:hAnsi="Arial" w:cs="Arial"/>
                <w:color w:val="000000"/>
                <w:sz w:val="18"/>
                <w:szCs w:val="18"/>
                <w:lang w:val="fr-FR"/>
              </w:rPr>
              <w:t xml:space="preserve"> </w:t>
            </w:r>
            <w:r w:rsidRPr="00D50FDC">
              <w:rPr>
                <w:rFonts w:ascii="Arial" w:eastAsia="Times New Roman" w:hAnsi="Arial" w:cs="Arial"/>
                <w:color w:val="000000"/>
                <w:sz w:val="18"/>
                <w:szCs w:val="18"/>
                <w:lang w:val="fr-FR"/>
              </w:rPr>
              <w:fldChar w:fldCharType="begin"/>
            </w:r>
            <w:r w:rsidR="001C71BD">
              <w:rPr>
                <w:rFonts w:ascii="Arial" w:eastAsia="Times New Roman" w:hAnsi="Arial" w:cs="Arial"/>
                <w:color w:val="000000"/>
                <w:sz w:val="18"/>
                <w:szCs w:val="18"/>
                <w:lang w:val="fr-FR"/>
              </w:rPr>
              <w:instrText xml:space="preserve"> ADDIN ZOTERO_ITEM CSL_CITATION {"citationID":"saMacJVS","properties":{"formattedCitation":"(10)","plainCitation":"(10)","noteIndex":0},"citationItems":[{"id":285,"uris":["http://zotero.org/users/local/Cg9l0yK5/items/LX5BP8BG"],"itemData":{"id":285,"type":"article-journal","abstract":"In the dividing eukaryotic cell, the spindle assembly checkpoint (SAC) ensures that each daughter cell inherits an identical set of chromosomes. The SAC coordinates the  correct attachment of sister chromatid kinetochores to the mitotic spindle with  activation of the anaphase-promoting complex (APC/C), the E3 ubiquitin ligase  responsible for initiating chromosome separation. In response to unattached  kinetochores, the SAC generates the mitotic checkpoint complex (MCC), which inhibits  the APC/C and delays chromosome segregation. By cryo-electron microscopy, here we  determine the near-atomic resolution structure of a human APC/C–MCC complex  (APC/C(MCC)). Degron-like sequences of the MCC subunit BubR1 block degron  recognition sites on Cdc20, the APC/C coactivator subunit responsible for substrate  interactions. BubR1 also obstructs binding of the initiating E2 enzyme UbcH10 to  repress APC/C ubiquitination activity. Conformational variability of the complex  enables UbcH10 association, and structural analysis shows how the Cdc20 subunit  intrinsic to the MCC (Cdc20(MCC)) is ubiquitinated, a process that results in APC/C  reactivation when the SAC is silenced.","container-title":"Nature","DOI":"10.1038/nature19083","ISSN":"1476-4687 0028-0836","issue":"7617","journalAbbreviation":"Nature","language":"eng","note":"PMID: 27509861 \nPMCID: PMC5019344","page":"431-436","title":"Molecular basis of APC/C regulation by the spindle assembly checkpoint.","volume":"536","author":[{"family":"Alfieri","given":"Claudio"},{"family":"Chang","given":"Leifu"},{"family":"Zhang","given":"Ziguo"},{"family":"Yang","given":"Jing"},{"family":"Maslen","given":"Sarah"},{"family":"Skehel","given":"Mark"},{"family":"Barford","given":"David"}],"issued":{"date-parts":[["2016",8,25]]}}}],"schema":"https://github.com/citation-style-language/schema/raw/master/csl-citation.json"} </w:instrText>
            </w:r>
            <w:r w:rsidRPr="00D50FDC">
              <w:rPr>
                <w:rFonts w:ascii="Arial" w:eastAsia="Times New Roman" w:hAnsi="Arial" w:cs="Arial"/>
                <w:color w:val="000000"/>
                <w:sz w:val="18"/>
                <w:szCs w:val="18"/>
                <w:lang w:val="fr-FR"/>
              </w:rPr>
              <w:fldChar w:fldCharType="separate"/>
            </w:r>
            <w:r w:rsidR="001C71BD" w:rsidRPr="001C71BD">
              <w:rPr>
                <w:rFonts w:ascii="Arial" w:hAnsi="Arial" w:cs="Arial"/>
                <w:sz w:val="18"/>
              </w:rPr>
              <w:t>(10)</w:t>
            </w:r>
            <w:r w:rsidRPr="00D50FDC">
              <w:rPr>
                <w:rFonts w:ascii="Arial" w:eastAsia="Times New Roman" w:hAnsi="Arial" w:cs="Arial"/>
                <w:color w:val="000000"/>
                <w:sz w:val="18"/>
                <w:szCs w:val="18"/>
                <w:lang w:val="fr-FR"/>
              </w:rPr>
              <w:fldChar w:fldCharType="end"/>
            </w:r>
          </w:p>
        </w:tc>
        <w:tc>
          <w:tcPr>
            <w:tcW w:w="488" w:type="pct"/>
            <w:shd w:val="clear" w:color="auto" w:fill="auto"/>
            <w:noWrap/>
            <w:vAlign w:val="bottom"/>
            <w:hideMark/>
          </w:tcPr>
          <w:p w14:paraId="416DFDA2" w14:textId="77777777" w:rsidR="00BF211E" w:rsidRPr="0097360C" w:rsidRDefault="00BF211E" w:rsidP="00386B4F">
            <w:pPr>
              <w:spacing w:after="0" w:line="240" w:lineRule="auto"/>
              <w:jc w:val="right"/>
              <w:rPr>
                <w:rFonts w:ascii="Arial" w:eastAsia="Times New Roman" w:hAnsi="Arial" w:cs="Arial"/>
                <w:color w:val="000000"/>
                <w:sz w:val="18"/>
                <w:szCs w:val="18"/>
                <w:lang w:val="fr-FR"/>
              </w:rPr>
            </w:pPr>
            <w:r w:rsidRPr="00A60B9C">
              <w:rPr>
                <w:rFonts w:ascii="Arial" w:hAnsi="Arial" w:cs="Arial"/>
                <w:color w:val="000000"/>
                <w:sz w:val="18"/>
                <w:szCs w:val="18"/>
              </w:rPr>
              <w:t>1.83</w:t>
            </w:r>
          </w:p>
        </w:tc>
        <w:tc>
          <w:tcPr>
            <w:tcW w:w="750" w:type="pct"/>
            <w:vAlign w:val="bottom"/>
          </w:tcPr>
          <w:p w14:paraId="33A807F8" w14:textId="07231050" w:rsidR="00BF211E" w:rsidRPr="0097360C" w:rsidRDefault="00BF211E" w:rsidP="00386B4F">
            <w:pPr>
              <w:spacing w:after="0" w:line="240" w:lineRule="auto"/>
              <w:rPr>
                <w:rFonts w:ascii="Arial" w:eastAsia="Times New Roman" w:hAnsi="Arial" w:cs="Arial"/>
                <w:color w:val="000000"/>
                <w:sz w:val="18"/>
                <w:szCs w:val="18"/>
                <w:lang w:val="fr-FR"/>
              </w:rPr>
            </w:pPr>
            <w:r>
              <w:rPr>
                <w:rFonts w:ascii="Calibri" w:hAnsi="Calibri" w:cs="Calibri"/>
                <w:color w:val="000000"/>
              </w:rPr>
              <w:t xml:space="preserve">Efhd1 </w:t>
            </w:r>
            <w:r w:rsidRPr="00D50FDC">
              <w:rPr>
                <w:rFonts w:ascii="Arial" w:eastAsia="Times New Roman" w:hAnsi="Arial" w:cs="Arial"/>
                <w:color w:val="000000"/>
                <w:sz w:val="18"/>
                <w:szCs w:val="18"/>
              </w:rPr>
              <w:fldChar w:fldCharType="begin"/>
            </w:r>
            <w:r w:rsidR="001C71BD">
              <w:rPr>
                <w:rFonts w:ascii="Arial" w:eastAsia="Times New Roman" w:hAnsi="Arial" w:cs="Arial"/>
                <w:color w:val="000000"/>
                <w:sz w:val="18"/>
                <w:szCs w:val="18"/>
                <w:lang w:val="fr-FR"/>
              </w:rPr>
              <w:instrText xml:space="preserve"> ADDIN ZOTERO_ITEM CSL_CITATION {"citationID":"bXqt7Wus","properties":{"formattedCitation":"(38)","plainCitation":"(38)","noteIndex":0},"citationItems":[{"id":200,"uris":["http://zotero.org/users/local/Cg9l0yK5/items/DE58P6K6"],"itemData":{"id":200,"type":"article-journal","abstract":"To unveil novel global changes associated with corpus luteum (CL) maturation, we analyzed transcriptome data for the bovine CL on days 4 and 11, representing the  developing vs. mature gland. Our analyses revealed 681 differentially expressed  genes (363 and 318 on day 4 and 11, respectively), with ≥2 fold change and FDR of  &lt;5%. Different gene ontology (GO) categories were represented prominently in  transcriptome data at these stages (e.g. days 4: cell cycle, chromosome, DNA  metabolic process and replication and on day 11: immune response; lipid metabolic  process and complement activation). Based on bioinformatic analyses, select genes  expression in day 4 and 11 CL was validated with quantitative real-time PCR. Cell  specific expression was also determined in enriched luteal endothelial and  steroidogenic cells. Genes related to the angiogenic process such as NOS3, which  maintains dilated vessels and MMP9, matrix degrading enzyme, were higher on day 4.  Importantly, our data suggests day 11 CL acquire mechanisms to prevent blood vessel  sprouting and promote their maturation by expressing NOTCH4 and JAG1, greatly  enriched in luteal endothelial cells. Another endothelial specific gene, CD300LG,  was identified here in the CL for the first time. CD300LG is an adhesion molecule  enabling lymphocyte migration, its higher levels at mid cycle are expected to  support the transmigration of immune cells into the CL at this stage. Together with  steroidogenic genes, most of the genes regulating de-novo cholesterol biosynthetic  pathway (e.g HMGCS, HMGCR) and cholesterol uptake from plasma (LDLR, APOD and APOE)  were upregulated in the mature CL. These findings provide new insight of the  processes involved in CL maturation including blood vessel growth and stabilization,  leucocyte transmigration as well as progesterone synthesis as the CL matures.","container-title":"PloS one","DOI":"10.1371/journal.pone.0194456","ISSN":"1932-6203","issue":"3","journalAbbreviation":"PLoS One","language":"eng","note":"PMID: 29590145 \nPMCID: PMC5874041","page":"e0194456","title":"Genomic profiling of bovine corpus luteum maturation.","volume":"13","author":[{"family":"Kfir","given":"Sigal"},{"family":"Basavaraja","given":"Raghavendra"},{"family":"Wigoda","given":"Noa"},{"family":"Ben-Dor","given":"Shifra"},{"family":"Orr","given":"Irit"},{"family":"Meidan","given":"Rina"}],"issued":{"date-parts":[["2018"]]}}}],"schema":"https://github.com/citation-style-language/schema/raw/master/csl-citation.json"} </w:instrText>
            </w:r>
            <w:r w:rsidRPr="00D50FDC">
              <w:rPr>
                <w:rFonts w:ascii="Arial" w:eastAsia="Times New Roman" w:hAnsi="Arial" w:cs="Arial"/>
                <w:color w:val="000000"/>
                <w:sz w:val="18"/>
                <w:szCs w:val="18"/>
              </w:rPr>
              <w:fldChar w:fldCharType="separate"/>
            </w:r>
            <w:r w:rsidR="001C71BD" w:rsidRPr="001C71BD">
              <w:rPr>
                <w:rFonts w:ascii="Arial" w:hAnsi="Arial" w:cs="Arial"/>
                <w:sz w:val="18"/>
              </w:rPr>
              <w:t>(38)</w:t>
            </w:r>
            <w:r w:rsidRPr="00D50FDC">
              <w:rPr>
                <w:rFonts w:ascii="Arial" w:eastAsia="Times New Roman" w:hAnsi="Arial" w:cs="Arial"/>
                <w:color w:val="000000"/>
                <w:sz w:val="18"/>
                <w:szCs w:val="18"/>
              </w:rPr>
              <w:fldChar w:fldCharType="end"/>
            </w:r>
          </w:p>
        </w:tc>
        <w:tc>
          <w:tcPr>
            <w:tcW w:w="480" w:type="pct"/>
            <w:shd w:val="clear" w:color="auto" w:fill="auto"/>
            <w:noWrap/>
            <w:vAlign w:val="bottom"/>
            <w:hideMark/>
          </w:tcPr>
          <w:p w14:paraId="50467FF2" w14:textId="77777777" w:rsidR="00BF211E" w:rsidRPr="00FB108C" w:rsidRDefault="00BF211E" w:rsidP="00386B4F">
            <w:pPr>
              <w:spacing w:after="0" w:line="240" w:lineRule="auto"/>
              <w:jc w:val="right"/>
              <w:rPr>
                <w:rFonts w:ascii="Arial" w:eastAsia="Times New Roman" w:hAnsi="Arial" w:cs="Arial"/>
                <w:color w:val="000000"/>
                <w:sz w:val="18"/>
                <w:szCs w:val="18"/>
                <w:lang w:val="fr-FR"/>
              </w:rPr>
            </w:pPr>
            <w:r w:rsidRPr="00FB108C">
              <w:rPr>
                <w:rFonts w:ascii="Arial" w:hAnsi="Arial" w:cs="Arial"/>
                <w:color w:val="000000"/>
                <w:sz w:val="18"/>
                <w:szCs w:val="18"/>
              </w:rPr>
              <w:t>2.50</w:t>
            </w:r>
          </w:p>
        </w:tc>
      </w:tr>
      <w:tr w:rsidR="001C71BD" w:rsidRPr="0097360C" w14:paraId="2271818B" w14:textId="77777777" w:rsidTr="00386B4F">
        <w:trPr>
          <w:trHeight w:val="290"/>
        </w:trPr>
        <w:tc>
          <w:tcPr>
            <w:tcW w:w="761" w:type="pct"/>
            <w:vAlign w:val="bottom"/>
          </w:tcPr>
          <w:p w14:paraId="1D0F7F65" w14:textId="684A9826" w:rsidR="00BF211E" w:rsidRPr="0097360C" w:rsidRDefault="00BF211E" w:rsidP="00386B4F">
            <w:pPr>
              <w:spacing w:after="0" w:line="240" w:lineRule="auto"/>
              <w:rPr>
                <w:rFonts w:ascii="Arial" w:eastAsia="Times New Roman" w:hAnsi="Arial" w:cs="Arial"/>
                <w:color w:val="000000"/>
                <w:sz w:val="18"/>
                <w:szCs w:val="18"/>
                <w:lang w:val="fr-FR"/>
              </w:rPr>
            </w:pPr>
            <w:proofErr w:type="spellStart"/>
            <w:r>
              <w:rPr>
                <w:rFonts w:ascii="Calibri" w:hAnsi="Calibri" w:cs="Calibri"/>
                <w:color w:val="000000"/>
              </w:rPr>
              <w:t>Mrap</w:t>
            </w:r>
            <w:proofErr w:type="spellEnd"/>
            <w:r>
              <w:rPr>
                <w:rFonts w:ascii="Calibri" w:hAnsi="Calibri" w:cs="Calibri"/>
                <w:color w:val="000000"/>
              </w:rPr>
              <w:t xml:space="preserve"> </w:t>
            </w:r>
            <w:r w:rsidRPr="00D50FDC">
              <w:rPr>
                <w:rFonts w:ascii="Arial" w:eastAsia="Times New Roman" w:hAnsi="Arial" w:cs="Arial"/>
                <w:color w:val="000000"/>
                <w:sz w:val="18"/>
                <w:szCs w:val="18"/>
                <w:lang w:val="fr-FR"/>
              </w:rPr>
              <w:fldChar w:fldCharType="begin"/>
            </w:r>
            <w:r w:rsidR="001C71BD">
              <w:rPr>
                <w:rFonts w:ascii="Arial" w:eastAsia="Times New Roman" w:hAnsi="Arial" w:cs="Arial"/>
                <w:color w:val="000000"/>
                <w:sz w:val="18"/>
                <w:szCs w:val="18"/>
                <w:lang w:val="fr-FR"/>
              </w:rPr>
              <w:instrText xml:space="preserve"> ADDIN ZOTERO_ITEM CSL_CITATION {"citationID":"uFxHvzpv","properties":{"formattedCitation":"(13)","plainCitation":"(13)","noteIndex":0},"citationItems":[{"id":95,"uris":["http://zotero.org/users/local/Cg9l0yK5/items/C47RTVGE"],"itemData":{"id":95,"type":"article-journal","abstract":"The theca interna is a specialized stromal layer that envelops each growing ovarian follicle. It contains capillaries, fibroblasts, immune cells and the steroidogenic  cells that synthesize androgens for conversion to estradiol by the neighboring  granulosa cells. During reproductive life only a small number of follicles will grow  to a sufficient size to ovulate, whereas the majority of follicles will undergo  regression/atresia and phagocytosis by macrophages. To identify genes which are  differentially regulated in the theca interna during follicular atresia, we  undertook transcriptome profiling of the theca interna from healthy (n = 10) and  antral atretic (n = 5) bovine follicles at early antral stages (&lt;5 mm). Principal  Component Analyses and hierarchical classification of the signal intensity plots for  the arrays showed primary clustering into two groups, healthy and atretic. A total  of 543 probe sets were differentially expressed between the atretic and healthy  theca interna. Further analyses of these genes by Ingenuity Pathway Analysis and  Gene Ontology Enrichment Analysis Toolkit software found most of the genes being  expressed were related to cytokines, hormones and receptors as well as the cell  cycle and DNA replication. Cell cycle genes which encode components of the  replicating chromosome complex and mitotic spindle were down-regulated in atretic  theca interna, whereas stress response and inflammation-related genes such as TP53,  IKBKB and TGFB1 were up-regulated. In addition to cell cycle regulators, upstream  regulators that were predicted to be inhibited included Retinoblastoma 1, E2  transcription factor 1, and hepatocyte growth factor. Our study suggests that during  antral atresia of small follicles in the theca interna, arrest of cell cycle and DNA  replication occurs rather than up- regulation of apoptosis-associated genes as  occurs in granulosa cells.","container-title":"PloS one","DOI":"10.1371/journal.pone.0099706","ISSN":"1932-6203","issue":"6","journalAbbreviation":"PLoS One","language":"eng","note":"PMID: 24956388 \nPMCID: PMC4067288","page":"e99706","title":"Transcriptome profiling of the theca interna from bovine ovarian follicles during atresia.","volume":"9","author":[{"family":"Hatzirodos","given":"Nicholas"},{"family":"Irving-Rodgers","given":"Helen F."},{"family":"Hummitzsch","given":"Katja"},{"family":"Rodgers","given":"Raymond J."}],"issued":{"date-parts":[["2014"]]}}}],"schema":"https://github.com/citation-style-language/schema/raw/master/csl-citation.json"} </w:instrText>
            </w:r>
            <w:r w:rsidRPr="00D50FDC">
              <w:rPr>
                <w:rFonts w:ascii="Arial" w:eastAsia="Times New Roman" w:hAnsi="Arial" w:cs="Arial"/>
                <w:color w:val="000000"/>
                <w:sz w:val="18"/>
                <w:szCs w:val="18"/>
                <w:lang w:val="fr-FR"/>
              </w:rPr>
              <w:fldChar w:fldCharType="separate"/>
            </w:r>
            <w:r w:rsidR="001C71BD" w:rsidRPr="001C71BD">
              <w:rPr>
                <w:rFonts w:ascii="Arial" w:hAnsi="Arial" w:cs="Arial"/>
                <w:sz w:val="18"/>
              </w:rPr>
              <w:t>(13)</w:t>
            </w:r>
            <w:r w:rsidRPr="00D50FDC">
              <w:rPr>
                <w:rFonts w:ascii="Arial" w:eastAsia="Times New Roman" w:hAnsi="Arial" w:cs="Arial"/>
                <w:color w:val="000000"/>
                <w:sz w:val="18"/>
                <w:szCs w:val="18"/>
                <w:lang w:val="fr-FR"/>
              </w:rPr>
              <w:fldChar w:fldCharType="end"/>
            </w:r>
          </w:p>
        </w:tc>
        <w:tc>
          <w:tcPr>
            <w:tcW w:w="521" w:type="pct"/>
            <w:shd w:val="clear" w:color="auto" w:fill="auto"/>
            <w:noWrap/>
            <w:vAlign w:val="bottom"/>
            <w:hideMark/>
          </w:tcPr>
          <w:p w14:paraId="769715B6" w14:textId="77777777" w:rsidR="00BF211E" w:rsidRPr="00FB108C" w:rsidRDefault="00BF211E" w:rsidP="00386B4F">
            <w:pPr>
              <w:spacing w:after="0" w:line="240" w:lineRule="auto"/>
              <w:jc w:val="right"/>
              <w:rPr>
                <w:rFonts w:ascii="Arial" w:eastAsia="Times New Roman" w:hAnsi="Arial" w:cs="Arial"/>
                <w:color w:val="000000"/>
                <w:sz w:val="18"/>
                <w:szCs w:val="18"/>
                <w:lang w:val="fr-FR"/>
              </w:rPr>
            </w:pPr>
            <w:r w:rsidRPr="00FB108C">
              <w:rPr>
                <w:rFonts w:ascii="Arial" w:hAnsi="Arial" w:cs="Arial"/>
                <w:color w:val="000000"/>
                <w:sz w:val="18"/>
                <w:szCs w:val="18"/>
              </w:rPr>
              <w:t>2.45</w:t>
            </w:r>
          </w:p>
        </w:tc>
        <w:tc>
          <w:tcPr>
            <w:tcW w:w="653" w:type="pct"/>
            <w:vAlign w:val="bottom"/>
          </w:tcPr>
          <w:p w14:paraId="1D28E706" w14:textId="5D7A93DB" w:rsidR="00BF211E" w:rsidRPr="008565AB" w:rsidRDefault="00BF211E" w:rsidP="00386B4F">
            <w:pPr>
              <w:spacing w:after="0" w:line="240" w:lineRule="auto"/>
              <w:rPr>
                <w:rFonts w:ascii="Arial" w:eastAsia="Times New Roman" w:hAnsi="Arial" w:cs="Arial"/>
                <w:color w:val="000000"/>
                <w:sz w:val="18"/>
                <w:szCs w:val="18"/>
              </w:rPr>
            </w:pPr>
            <w:r w:rsidRPr="008565AB">
              <w:rPr>
                <w:rFonts w:ascii="Arial" w:hAnsi="Arial" w:cs="Arial"/>
                <w:color w:val="000000"/>
                <w:sz w:val="18"/>
                <w:szCs w:val="18"/>
              </w:rPr>
              <w:t xml:space="preserve">Igfbp7 </w:t>
            </w:r>
            <w:r w:rsidRPr="008565AB">
              <w:rPr>
                <w:rFonts w:ascii="Arial" w:eastAsia="Times New Roman" w:hAnsi="Arial" w:cs="Arial"/>
                <w:color w:val="000000"/>
                <w:sz w:val="18"/>
                <w:szCs w:val="18"/>
                <w:lang w:val="fr-FR"/>
              </w:rPr>
              <w:fldChar w:fldCharType="begin"/>
            </w:r>
            <w:r w:rsidR="001C71BD">
              <w:rPr>
                <w:rFonts w:ascii="Arial" w:eastAsia="Times New Roman" w:hAnsi="Arial" w:cs="Arial"/>
                <w:color w:val="000000"/>
                <w:sz w:val="18"/>
                <w:szCs w:val="18"/>
                <w:lang w:val="fr-FR"/>
              </w:rPr>
              <w:instrText xml:space="preserve"> ADDIN ZOTERO_ITEM CSL_CITATION {"citationID":"AQLeUL2o","properties":{"formattedCitation":"(39)","plainCitation":"(39)","noteIndex":0},"citationItems":[{"id":249,"uris":["http://zotero.org/users/local/Cg9l0yK5/items/VUZGSYGK"],"itemData":{"id":249,"type":"article-journal","abstract":"Insulin-like growth factor (IGF)-binding protein (IGFBP) 7 is a secreted protein that regulates cellular proliferation, adhesion, and angiogenesis, and has low  affinity for IGF compared with that of IGFBP1-IGFBP6. We sought to determine whether  IGFBP7 is present in follicular fluid and to elucidate whether IGFBP7 participates  in the steroidogenesis of rat mature follicles. Follicular fluid and granulosa cells  (GCs) were collected from immature rats 2 days after their treatment with equine  chorionic gonadotropin (eCG). IGFBP7 protein was detected in the follicular fluid  and the conditioned medium of cultured ovarian GCs by immunoblot analysis. When  subconfluent GCs were cultured and treated with FSH and activin, coincubation with  FSH and activin markedly increased GC expression of Cyp19a1 (aromatase) mRNA and  17beta-estradiol (E(2)) secretion. The addition of recombinant murine IGFBP7 to  these cultures decreased in the activin-enhanced, FSH-stimulated Cyp19a1 mRNA levels  in the cells and suppressed the 17beta-E(2) levels in the culture medium. Treatment  of GCs with Igfbp7-specific small interfering RNA (siRNA), which knocked down Igfbp7  expression, increased the FSH-stimulated levels of Cyp19a1 but not Cyp11a1  expression. Basal and FSH-stimulated 17beta-E(2) secretion into the culture medium  was also enhanced by Igfbp7 siRNA. These results suggest that IGFBP7 suppresses  estrogen production in GCs. These observations support the notion that this protein,  which is secreted into the follicular fluid, may serve as an intraovarian factor  that negatively regulates GC differentiation.","container-title":"Biology of reproduction","DOI":"10.1095/biolreprod.106.058867","ISSN":"0006-3363","issue":"3","journalAbbreviation":"Biol Reprod","language":"eng","note":"publisher-place: United States\nPMID: 17522074","page":"485-491","title":"Effect of insulin-like growth factor-binding protein 7 on steroidogenesis in granulosa cells derived from equine chorionic gonadotropin-primed immature rat  ovaries.","volume":"77","author":[{"family":"Tamura","given":"Kazuhiro"},{"family":"Matsushita","given":"Mayumi"},{"family":"Endo","given":"Aiju"},{"family":"Kutsukake","given":"Masahiko"},{"family":"Kogo","given":"Hiroshi"}],"issued":{"date-parts":[["2007",9]]}}}],"schema":"https://github.com/citation-style-language/schema/raw/master/csl-citation.json"} </w:instrText>
            </w:r>
            <w:r w:rsidRPr="008565AB">
              <w:rPr>
                <w:rFonts w:ascii="Arial" w:eastAsia="Times New Roman" w:hAnsi="Arial" w:cs="Arial"/>
                <w:color w:val="000000"/>
                <w:sz w:val="18"/>
                <w:szCs w:val="18"/>
                <w:lang w:val="fr-FR"/>
              </w:rPr>
              <w:fldChar w:fldCharType="separate"/>
            </w:r>
            <w:r w:rsidR="001C71BD" w:rsidRPr="001C71BD">
              <w:rPr>
                <w:rFonts w:ascii="Arial" w:hAnsi="Arial" w:cs="Arial"/>
                <w:sz w:val="18"/>
              </w:rPr>
              <w:t>(39)</w:t>
            </w:r>
            <w:r w:rsidRPr="008565AB">
              <w:rPr>
                <w:rFonts w:ascii="Arial" w:eastAsia="Times New Roman" w:hAnsi="Arial" w:cs="Arial"/>
                <w:color w:val="000000"/>
                <w:sz w:val="18"/>
                <w:szCs w:val="18"/>
                <w:lang w:val="fr-FR"/>
              </w:rPr>
              <w:fldChar w:fldCharType="end"/>
            </w:r>
          </w:p>
        </w:tc>
        <w:tc>
          <w:tcPr>
            <w:tcW w:w="599" w:type="pct"/>
            <w:shd w:val="clear" w:color="auto" w:fill="auto"/>
            <w:noWrap/>
            <w:vAlign w:val="bottom"/>
            <w:hideMark/>
          </w:tcPr>
          <w:p w14:paraId="4533870E" w14:textId="77777777" w:rsidR="00BF211E" w:rsidRPr="008565AB" w:rsidRDefault="00BF211E" w:rsidP="00386B4F">
            <w:pPr>
              <w:spacing w:after="0" w:line="240" w:lineRule="auto"/>
              <w:jc w:val="right"/>
              <w:rPr>
                <w:rFonts w:ascii="Arial" w:eastAsia="Times New Roman" w:hAnsi="Arial" w:cs="Arial"/>
                <w:color w:val="000000"/>
                <w:sz w:val="18"/>
                <w:szCs w:val="18"/>
                <w:lang w:val="fr-FR"/>
              </w:rPr>
            </w:pPr>
            <w:r w:rsidRPr="008565AB">
              <w:rPr>
                <w:rFonts w:ascii="Arial" w:hAnsi="Arial" w:cs="Arial"/>
                <w:color w:val="000000"/>
                <w:sz w:val="18"/>
                <w:szCs w:val="18"/>
              </w:rPr>
              <w:t>2.03</w:t>
            </w:r>
          </w:p>
        </w:tc>
        <w:tc>
          <w:tcPr>
            <w:tcW w:w="747" w:type="pct"/>
            <w:shd w:val="clear" w:color="auto" w:fill="auto"/>
            <w:noWrap/>
            <w:vAlign w:val="bottom"/>
            <w:hideMark/>
          </w:tcPr>
          <w:p w14:paraId="64D0EE90" w14:textId="77777777" w:rsidR="00BF211E" w:rsidRPr="0097360C" w:rsidRDefault="00BF211E" w:rsidP="00386B4F">
            <w:pPr>
              <w:spacing w:after="0" w:line="240" w:lineRule="auto"/>
              <w:rPr>
                <w:rFonts w:ascii="Arial" w:eastAsia="Times New Roman" w:hAnsi="Arial" w:cs="Arial"/>
                <w:color w:val="000000"/>
                <w:sz w:val="18"/>
                <w:szCs w:val="18"/>
                <w:lang w:val="fr-FR"/>
              </w:rPr>
            </w:pPr>
            <w:proofErr w:type="spellStart"/>
            <w:r w:rsidRPr="0097360C">
              <w:rPr>
                <w:rFonts w:ascii="Arial" w:eastAsia="Times New Roman" w:hAnsi="Arial" w:cs="Arial"/>
                <w:color w:val="000000"/>
                <w:sz w:val="18"/>
                <w:szCs w:val="18"/>
                <w:lang w:val="fr-FR"/>
              </w:rPr>
              <w:t>Cenpa</w:t>
            </w:r>
            <w:proofErr w:type="spellEnd"/>
          </w:p>
        </w:tc>
        <w:tc>
          <w:tcPr>
            <w:tcW w:w="488" w:type="pct"/>
            <w:shd w:val="clear" w:color="auto" w:fill="auto"/>
            <w:noWrap/>
            <w:vAlign w:val="bottom"/>
            <w:hideMark/>
          </w:tcPr>
          <w:p w14:paraId="3E5CF948" w14:textId="77777777" w:rsidR="00BF211E" w:rsidRPr="0097360C" w:rsidRDefault="00BF211E" w:rsidP="00386B4F">
            <w:pPr>
              <w:spacing w:after="0" w:line="240" w:lineRule="auto"/>
              <w:jc w:val="right"/>
              <w:rPr>
                <w:rFonts w:ascii="Arial" w:eastAsia="Times New Roman" w:hAnsi="Arial" w:cs="Arial"/>
                <w:color w:val="000000"/>
                <w:sz w:val="18"/>
                <w:szCs w:val="18"/>
                <w:lang w:val="fr-FR"/>
              </w:rPr>
            </w:pPr>
            <w:r w:rsidRPr="00A60B9C">
              <w:rPr>
                <w:rFonts w:ascii="Arial" w:hAnsi="Arial" w:cs="Arial"/>
                <w:color w:val="000000"/>
                <w:sz w:val="18"/>
                <w:szCs w:val="18"/>
              </w:rPr>
              <w:t>1.75</w:t>
            </w:r>
          </w:p>
        </w:tc>
        <w:tc>
          <w:tcPr>
            <w:tcW w:w="750" w:type="pct"/>
            <w:vAlign w:val="bottom"/>
          </w:tcPr>
          <w:p w14:paraId="0FD41960" w14:textId="7C541CE2" w:rsidR="00BF211E" w:rsidRPr="0097360C" w:rsidRDefault="00BF211E" w:rsidP="00386B4F">
            <w:pPr>
              <w:spacing w:after="0" w:line="240" w:lineRule="auto"/>
              <w:rPr>
                <w:rFonts w:ascii="Arial" w:eastAsia="Times New Roman" w:hAnsi="Arial" w:cs="Arial"/>
                <w:color w:val="000000"/>
                <w:sz w:val="18"/>
                <w:szCs w:val="18"/>
                <w:lang w:val="fr-FR"/>
              </w:rPr>
            </w:pPr>
            <w:r>
              <w:rPr>
                <w:rFonts w:ascii="Calibri" w:hAnsi="Calibri" w:cs="Calibri"/>
                <w:color w:val="000000"/>
              </w:rPr>
              <w:t xml:space="preserve">S100a6 </w:t>
            </w:r>
            <w:r w:rsidRPr="00D50FDC">
              <w:rPr>
                <w:rFonts w:ascii="Arial" w:eastAsia="Times New Roman" w:hAnsi="Arial" w:cs="Arial"/>
                <w:color w:val="000000"/>
                <w:sz w:val="18"/>
                <w:szCs w:val="18"/>
                <w:lang w:val="fr-FR"/>
              </w:rPr>
              <w:fldChar w:fldCharType="begin"/>
            </w:r>
            <w:r w:rsidR="001C71BD">
              <w:rPr>
                <w:rFonts w:ascii="Arial" w:eastAsia="Times New Roman" w:hAnsi="Arial" w:cs="Arial"/>
                <w:color w:val="000000"/>
                <w:sz w:val="18"/>
                <w:szCs w:val="18"/>
                <w:lang w:val="fr-FR"/>
              </w:rPr>
              <w:instrText xml:space="preserve"> ADDIN ZOTERO_ITEM CSL_CITATION {"citationID":"AhBMupML","properties":{"formattedCitation":"(40,41)","plainCitation":"(40,41)","noteIndex":0},"citationItems":[{"id":266,"uris":["http://zotero.org/users/local/Cg9l0yK5/items/LW6NIWWQ"],"itemData":{"id":266,"type":"article-journal","abstract":"We have recently identified, characterized, and cloned a luteal microsomal 32-kDa phosphoprotein that we named PRAP (for PRL-receptor associated protein), and we have  demonstrated that PRAP binds to the intracellular domain of the short but not the  long form of the PRL receptor. In this study, we used PRAP cDNA to examine the  tissue specificity, the developmental expression, and the hormonal regulation of  PRAP gene expression. Northern blot analysis revealed that in the corpus luteum,  PRAP cDNA hybridized to multiple transcripts (5.5 kb, 4.3 kb, and 1.8 kb), with the  smallest transcript (1.8 kb) corresponding to the size of the cDNA clone. However,  none of these transcripts were detected in any other tissues examined. PRAP appears  to be tightly regulated by steroids and PRL. When pregnant rats were treated with  aminoglutethimide, a steroid synthesis inhibitor, all three PRAP transcripts became  barely detectable. Similar results were obtained when all luteotropic support was  removed by hypophysectomy and hysterectomy. Estradiol up-regulated PRAP expression  and, more specifically, the two lower transcripts. PRL had no stimulatory effect on  PRAP messenger RNA (mRNA) expression but caused a substantial increase in the level  of PRAP protein when administered to hypophysectomized pregnant rat, suggesting that  PRL may stabilize this protein. Similar dissociation between levels of mRNA and  protein were observed during luteal development. Although both PRAP mRNA and protein  were barely detectable in early pregnancy, their expression increased abruptly from  midpregnancy; however, whereas levels of PRAP mRNA declined from day 18, those of  the protein remained elevated until parturition. In summary, results of this study  have defined the tissue specificity and developmental expression of PRAP mRNA during  pregnancy. The data have also revealed that the gene expression of this protein is  up-regulated by estradiol, suggesting a pivotal role for PRAP in the synergistic  action of estradiol and PRL on the function of the rat corpus luteum.","container-title":"Endocrinology","DOI":"10.1210/endo.138.8.5336","ISSN":"0013-7227","issue":"8","journalAbbreviation":"Endocrinology","language":"eng","note":"publisher-place: United States\nPMID: 9231770","page":"3216-3221","title":"PRAP, a prolactin receptor associated protein: its gene expression and regulation in the corpus luteum.","volume":"138","author":[{"family":"Duan","given":"W. R."},{"family":"Parmer","given":"T. G."},{"family":"Albarracin","given":"C. T."},{"family":"Zhong","given":"L."},{"family":"Gibori","given":"G."}],"issued":{"date-parts":[["1997",8]]}}},{"id":241,"uris":["http://zotero.org/users/local/Cg9l0yK5/items/H75UX2VL"],"itemData":{"id":241,"type":"article-journal","abstract":"S100 proteins comprise a large family of Ca(2+)-binding proteins and exhibit a variety of intra- and extracellular functions. Despite our growing knowledge about  the biology of S100 proteins in some tissues such as brain and smooth muscle, little  is known about S100 proteins in the normal mammalian reproductive tissue. In the  present study, we investigated the distribution pattern of S100A6 (alternatively  named calcyclin) in the murine ovary by immunohistochemical study using specific  antibody. S100A6 was localized substantially in the cytoplasm of luteal cells, with  concomitant expression of S100A11, another S100 protein, but not in the other type  of cells such as oocytes, follicle epithelial cells (granulosa cells), and cells of  stroma including theca interna cells in the murine ovary. S100A6-immunoreactive  corpora lutea (CLs) were divided into two types: homogeneously and heterogeneously  stained CLs, and possibly they may represent differentiating and mature CL,  respectively. Our regression analysis revealed that expression level of S100A6  positively correlated with that of cytochrome P450 11A, a steroidogenic enzyme in  the heterogeously stained CL. These results suggested that S100A6 may contribute to  differentiation of steroidogenic activity of luteal cells in a synergistic manner  with S100A11 by facilitating some shared functions.","container-title":"Acta histochemica et cytochemica","DOI":"10.1267/ahc.11035","ISSN":"1347-5800 0044-5991","issue":"1","journalAbbreviation":"Acta Histochem Cytochem","language":"eng","note":"PMID: 22489100 \nPMCID: PMC3317497","page":"9-14","title":"Immunohistochemical Characterization of S100A6 in the Murine Ovary.","volume":"45","author":[{"family":"Hanaue","given":"Mayu"},{"family":"Miwa","given":"Naofumi"},{"family":"Takamatsu","given":"Ken"}],"issued":{"date-parts":[["2012",2,29]]}}}],"schema":"https://github.com/citation-style-language/schema/raw/master/csl-citation.json"} </w:instrText>
            </w:r>
            <w:r w:rsidRPr="00D50FDC">
              <w:rPr>
                <w:rFonts w:ascii="Arial" w:eastAsia="Times New Roman" w:hAnsi="Arial" w:cs="Arial"/>
                <w:color w:val="000000"/>
                <w:sz w:val="18"/>
                <w:szCs w:val="18"/>
                <w:lang w:val="fr-FR"/>
              </w:rPr>
              <w:fldChar w:fldCharType="separate"/>
            </w:r>
            <w:r w:rsidR="001C71BD" w:rsidRPr="001C71BD">
              <w:rPr>
                <w:rFonts w:ascii="Arial" w:hAnsi="Arial" w:cs="Arial"/>
                <w:sz w:val="18"/>
              </w:rPr>
              <w:t>(40,41)</w:t>
            </w:r>
            <w:r w:rsidRPr="00D50FDC">
              <w:rPr>
                <w:rFonts w:ascii="Arial" w:eastAsia="Times New Roman" w:hAnsi="Arial" w:cs="Arial"/>
                <w:color w:val="000000"/>
                <w:sz w:val="18"/>
                <w:szCs w:val="18"/>
                <w:lang w:val="fr-FR"/>
              </w:rPr>
              <w:fldChar w:fldCharType="end"/>
            </w:r>
          </w:p>
        </w:tc>
        <w:tc>
          <w:tcPr>
            <w:tcW w:w="480" w:type="pct"/>
            <w:shd w:val="clear" w:color="auto" w:fill="auto"/>
            <w:noWrap/>
            <w:vAlign w:val="bottom"/>
            <w:hideMark/>
          </w:tcPr>
          <w:p w14:paraId="56DE1FA9" w14:textId="77777777" w:rsidR="00BF211E" w:rsidRPr="00FB108C" w:rsidRDefault="00BF211E" w:rsidP="00386B4F">
            <w:pPr>
              <w:spacing w:after="0" w:line="240" w:lineRule="auto"/>
              <w:jc w:val="right"/>
              <w:rPr>
                <w:rFonts w:ascii="Arial" w:eastAsia="Times New Roman" w:hAnsi="Arial" w:cs="Arial"/>
                <w:color w:val="000000"/>
                <w:sz w:val="18"/>
                <w:szCs w:val="18"/>
                <w:lang w:val="fr-FR"/>
              </w:rPr>
            </w:pPr>
            <w:r w:rsidRPr="00FB108C">
              <w:rPr>
                <w:rFonts w:ascii="Arial" w:hAnsi="Arial" w:cs="Arial"/>
                <w:color w:val="000000"/>
                <w:sz w:val="18"/>
                <w:szCs w:val="18"/>
              </w:rPr>
              <w:t>2.47</w:t>
            </w:r>
          </w:p>
        </w:tc>
      </w:tr>
      <w:tr w:rsidR="001C71BD" w:rsidRPr="0097360C" w14:paraId="1E50F289" w14:textId="77777777" w:rsidTr="00386B4F">
        <w:trPr>
          <w:trHeight w:val="290"/>
        </w:trPr>
        <w:tc>
          <w:tcPr>
            <w:tcW w:w="761" w:type="pct"/>
            <w:vAlign w:val="bottom"/>
          </w:tcPr>
          <w:p w14:paraId="77838197" w14:textId="21DB8F03" w:rsidR="00BF211E" w:rsidRPr="0097360C" w:rsidRDefault="00BF211E" w:rsidP="00386B4F">
            <w:pPr>
              <w:spacing w:after="0" w:line="240" w:lineRule="auto"/>
              <w:rPr>
                <w:rFonts w:ascii="Arial" w:eastAsia="Times New Roman" w:hAnsi="Arial" w:cs="Arial"/>
                <w:color w:val="000000"/>
                <w:sz w:val="18"/>
                <w:szCs w:val="18"/>
                <w:lang w:val="fr-FR"/>
              </w:rPr>
            </w:pPr>
            <w:r>
              <w:rPr>
                <w:rFonts w:ascii="Calibri" w:hAnsi="Calibri" w:cs="Calibri"/>
                <w:color w:val="000000"/>
              </w:rPr>
              <w:t xml:space="preserve">Prss35 </w:t>
            </w:r>
            <w:r w:rsidRPr="00D50FDC">
              <w:rPr>
                <w:rFonts w:ascii="Arial" w:eastAsia="Times New Roman" w:hAnsi="Arial" w:cs="Arial"/>
                <w:color w:val="000000"/>
                <w:sz w:val="18"/>
                <w:szCs w:val="18"/>
                <w:lang w:val="fr-FR"/>
              </w:rPr>
              <w:fldChar w:fldCharType="begin"/>
            </w:r>
            <w:r w:rsidR="001C71BD">
              <w:rPr>
                <w:rFonts w:ascii="Arial" w:eastAsia="Times New Roman" w:hAnsi="Arial" w:cs="Arial"/>
                <w:color w:val="000000"/>
                <w:sz w:val="18"/>
                <w:szCs w:val="18"/>
                <w:lang w:val="fr-FR"/>
              </w:rPr>
              <w:instrText xml:space="preserve"> ADDIN ZOTERO_ITEM CSL_CITATION {"citationID":"JzQblQd0","properties":{"formattedCitation":"(42)","plainCitation":"(42)","noteIndex":0},"citationItems":[{"id":57,"uris":["http://zotero.org/users/local/Cg9l0yK5/items/YX967ESV"],"itemData":{"id":57,"type":"article-journal","abstract":"Proteolytic degradation of extracellular matrix components has been suggested to play an essential role in the occurrence of ovulation. Recent studies in our  laboratory have indicated that the plasminogen activator and matrix  metalloproteinase systems, which were previously believed to be crucial for  ovulation, are not required in this process. In this study we have used a microarray  approach to identify new proteases that are involved in ovulation. We found three  serine proteases that were relatively highly expressed during ovulation:  high-temperature requirement factor A1 (HtrA1), which was not regulated much during  ovulation; serine protease 23 (PRSS23), which was down-regulated by gonadotropins;  and serine protease 35 (PRSS35), which was up-regulated by gonadotropins. We have  further investigated the expression patterns of these proteases during  gonadotropin-induced ovulation in immature mice and in the corpus luteum (CL) of  pseudopregnant mice. We found that HtrA1 was highly expressed in granulosa cells  throughout follicular development and ovulation, as well as in the forming and  regressing CL. PRSS23 was highly expressed in atretic follicles, and it was  expressed in the ovarian stroma and theca tissues just before ovulation. PRSS35 was  expressed in the theca layers of developing follicles. It was also highly induced in  granulosa cells of preovulatory follicles. PRSS35 was also expressed in the forming  and regressing CL. These data suggest that HtrA1 and PRSS35 may be involved in  ovulation and CL formation and regression, and that PRSS23 may play a role in  follicular atresia.","container-title":"Endocrinology","DOI":"10.1210/en.2007-1736","ISSN":"0013-7227","issue":"10","journalAbbreviation":"Endocrinology","language":"eng","note":"publisher-place: United States\nPMID: 18566130","page":"5070-5077","title":"Expression and localization of the serine proteases high-temperature requirement factor A1, serine protease 23, and serine protease 35 in the mouse ovary.","volume":"149","author":[{"family":"Wahlberg","given":"Patrik"},{"family":"Nylander","given":"Asa"},{"family":"Ahlskog","given":"Nina"},{"family":"Liu","given":"Kui"},{"family":"Ny","given":"Tor"}],"issued":{"date-parts":[["2008",10]]}}}],"schema":"https://github.com/citation-style-language/schema/raw/master/csl-citation.json"} </w:instrText>
            </w:r>
            <w:r w:rsidRPr="00D50FDC">
              <w:rPr>
                <w:rFonts w:ascii="Arial" w:eastAsia="Times New Roman" w:hAnsi="Arial" w:cs="Arial"/>
                <w:color w:val="000000"/>
                <w:sz w:val="18"/>
                <w:szCs w:val="18"/>
                <w:lang w:val="fr-FR"/>
              </w:rPr>
              <w:fldChar w:fldCharType="separate"/>
            </w:r>
            <w:r w:rsidR="001C71BD" w:rsidRPr="001C71BD">
              <w:rPr>
                <w:rFonts w:ascii="Arial" w:hAnsi="Arial" w:cs="Arial"/>
                <w:sz w:val="18"/>
              </w:rPr>
              <w:t>(42)</w:t>
            </w:r>
            <w:r w:rsidRPr="00D50FDC">
              <w:rPr>
                <w:rFonts w:ascii="Arial" w:eastAsia="Times New Roman" w:hAnsi="Arial" w:cs="Arial"/>
                <w:color w:val="000000"/>
                <w:sz w:val="18"/>
                <w:szCs w:val="18"/>
                <w:lang w:val="fr-FR"/>
              </w:rPr>
              <w:fldChar w:fldCharType="end"/>
            </w:r>
          </w:p>
        </w:tc>
        <w:tc>
          <w:tcPr>
            <w:tcW w:w="521" w:type="pct"/>
            <w:shd w:val="clear" w:color="auto" w:fill="auto"/>
            <w:noWrap/>
            <w:vAlign w:val="bottom"/>
            <w:hideMark/>
          </w:tcPr>
          <w:p w14:paraId="0B0F84BB" w14:textId="77777777" w:rsidR="00BF211E" w:rsidRPr="00FB108C" w:rsidRDefault="00BF211E" w:rsidP="00386B4F">
            <w:pPr>
              <w:spacing w:after="0" w:line="240" w:lineRule="auto"/>
              <w:jc w:val="right"/>
              <w:rPr>
                <w:rFonts w:ascii="Arial" w:eastAsia="Times New Roman" w:hAnsi="Arial" w:cs="Arial"/>
                <w:color w:val="000000"/>
                <w:sz w:val="18"/>
                <w:szCs w:val="18"/>
              </w:rPr>
            </w:pPr>
            <w:r w:rsidRPr="00FB108C">
              <w:rPr>
                <w:rFonts w:ascii="Arial" w:hAnsi="Arial" w:cs="Arial"/>
                <w:color w:val="000000"/>
                <w:sz w:val="18"/>
                <w:szCs w:val="18"/>
              </w:rPr>
              <w:t>2.40</w:t>
            </w:r>
          </w:p>
        </w:tc>
        <w:tc>
          <w:tcPr>
            <w:tcW w:w="653" w:type="pct"/>
            <w:vAlign w:val="bottom"/>
          </w:tcPr>
          <w:p w14:paraId="6D63AB9C" w14:textId="624335D2" w:rsidR="00BF211E" w:rsidRPr="008565AB" w:rsidRDefault="00BF211E" w:rsidP="00386B4F">
            <w:pPr>
              <w:spacing w:after="0" w:line="240" w:lineRule="auto"/>
              <w:rPr>
                <w:rFonts w:ascii="Arial" w:eastAsia="Times New Roman" w:hAnsi="Arial" w:cs="Arial"/>
                <w:color w:val="000000"/>
                <w:sz w:val="18"/>
                <w:szCs w:val="18"/>
                <w:lang w:val="fr-FR"/>
              </w:rPr>
            </w:pPr>
            <w:r w:rsidRPr="008565AB">
              <w:rPr>
                <w:rFonts w:ascii="Arial" w:hAnsi="Arial" w:cs="Arial"/>
                <w:color w:val="000000"/>
                <w:sz w:val="18"/>
                <w:szCs w:val="18"/>
              </w:rPr>
              <w:t xml:space="preserve">Sfrp4 </w:t>
            </w:r>
            <w:r w:rsidRPr="008565AB">
              <w:rPr>
                <w:rFonts w:ascii="Arial" w:eastAsia="Times New Roman" w:hAnsi="Arial" w:cs="Arial"/>
                <w:color w:val="000000"/>
                <w:sz w:val="18"/>
                <w:szCs w:val="18"/>
                <w:lang w:val="fr-FR"/>
              </w:rPr>
              <w:fldChar w:fldCharType="begin"/>
            </w:r>
            <w:r w:rsidR="001C71BD">
              <w:rPr>
                <w:rFonts w:ascii="Arial" w:eastAsia="Times New Roman" w:hAnsi="Arial" w:cs="Arial"/>
                <w:color w:val="000000"/>
                <w:sz w:val="18"/>
                <w:szCs w:val="18"/>
                <w:lang w:val="fr-FR"/>
              </w:rPr>
              <w:instrText xml:space="preserve"> ADDIN ZOTERO_ITEM CSL_CITATION {"citationID":"8w3qc5rW","properties":{"formattedCitation":"(43,44)","plainCitation":"(43,44)","noteIndex":0},"citationItems":[{"id":263,"uris":["http://zotero.org/users/local/Cg9l0yK5/items/QAKQWAWN"],"itemData":{"id":263,"type":"article-journal","abstract":"Ovulation is a complex process initiated by the preovulatory LH surge, characterized by cumulus oocyte complex (COC) expansion and completed by the release of a mature  oocyte. Although many ovarian genes that impact ovulation have been identified, we  hypothesized that genes selectively expressed in COCs would be overlooked by  approaches using whole ovary or granulosa cell samples. RNA isolated from COCs  collected from preovulatory follicles of equine chorionic gonadotropin (CG) primed  mice and at selected times after human CG treatment was subjected to microarray  analyses and results confirmed by RT-PCR analyses, Western blotting, and  immunofluorescent studies. A remarkable number of genes were up-regulated in COCs  including Areg, Ereg, and Btc. Several genes selectively expressed in cumulus cells  compared with granulosa cells were related to neuronal (Mbp, Tnc, Nts) or immune  (Alcam, Pdcd1, Cd34, Cd52, and Cxcr4) cell function. In addition to Sfrp2, other  members of the Wnt/Fzd family (Sfrp4, Fdz1 and Fdz2) were expressed in COCs. Thus,  there is a cumulus cell-specific, terminal differentiation process. Furthermore,  immunofluorescent analyses documented that cumulus cells are highly mitotic for 4-8  h after human CG and then cease dividing in association with reduced levels of Ccnd2  mRNA. Other down-regulated genes included: Cyp19a1, Fshr, Inhb, and the oocyte  factors Zp1-3 and Gja4. In summary, the vast number of matrix, neuronal, and  especially immune cell-related genes identified by the gene- profiling data of COCs  constitutes strong and novel evidence that cumulus cells possess a repertoire of  immune functions that could be far greater than simply mediating an  inflammatory-like response.","container-title":"Molecular endocrinology (Baltimore, Md.)","DOI":"10.1210/me.2005-0420","ISSN":"0888-8809","issue":"6","journalAbbreviation":"Mol Endocrinol","language":"eng","note":"publisher-place: United States\nPMID: 16455817","page":"1300-1321","title":"Gene expression profiles of cumulus cell oocyte complexes during ovulation reveal cumulus cells express neuronal and immune-related genes: does this expand their role  in the ovulation process?","volume":"20","author":[{"family":"Hernandez-Gonzalez","given":"Inmaculada"},{"family":"Gonzalez-Robayna","given":"Ignacio"},{"family":"Shimada","given":"Masayuki"},{"family":"Wayne","given":"Chad M."},{"family":"Ochsner","given":"Scott A."},{"family":"White","given":"Lisa"},{"family":"Richards","given":"JoAnne S."}],"issued":{"date-parts":[["2006",6]]}}},{"id":262,"uris":["http://zotero.org/users/local/Cg9l0yK5/items/CL75BPAC"],"itemData":{"id":262,"type":"article-journal","abstract":"WNT signaling regulates a variety of ovarian processes, including follicle development, granulosa cell (GC) proliferation and differentiation, steroidogenesis,  and ovulation. The secreted frizzled-related proteins (SFRPs) comprise a family of  WNT signaling antagonists. Sfrp4 expression was previously reported to be induced in  ovarian GCs and cumulus cells in vivo following human chorionic gonadotropin  treatment, suggesting that it may play key roles in cumulus expansion,  ovulation/luteinization, and corpus luteum (CL) function. In this study, we aimed to  define the physiological roles of Sfrp4 in the ovary by gene targeting. Sfrp4-null  female mice were found to produce larger litters than did their wild-type  littermates. Although previous studies had suggested roles of Sfrp4 in luteal cell  survival, no differences in CL formation, morphology, steroidogenesis, involution,  or luteal cell apoptosis were found in Sfrp4-null mice. Likewise, cumulus expansion  occurred normally in Sfrp4-null mice, with minimal changes in cumulus cell gene  expression. Hyperfertility in the Sfrp4-null model was ultimately attributed to  decreased antral follicle atresia, leading to an enhanced ovulatory rate. Increased  expression of FSH- and LH-responsive genes was found in GCs from Sfrp4-null mice,  and GCs isolated from Sfrp4-null mice were found to be hyperresponsive to FSH and LH  in vitro. Although Sfrp2 was found to be overexpressed in the GCs of Sfrp4-null mice  (suggesting a compensatory mechanism), Sfrp2-null mice had normal fertility and  ovulatory rates, and Sfrp2/4 double knockout mice did not differ from Sfrp4-null  mice. Taken together, our results suggest that SFRP4 acts to attenuate GC  responsiveness to gonadotropins, thereby decreasing follicle survival, ovulatory  rate, and fertility.","container-title":"Endocrinology","DOI":"10.1210/en.2019-00212","ISSN":"1945-7170 0013-7227","issue":"7","journalAbbreviation":"Endocrinology","language":"eng","license":"Copyright © 2019 Endocrine Society.","note":"PMID: 30942852 \nPMCID: PMC6549581","page":"1561-1572","title":"SFRP4 Is a Negative Regulator of Ovarian Follicle Development and Female Fertility.","volume":"160","author":[{"family":"Zamberlam","given":"Gustavo"},{"family":"Lapointe","given":"Evelyne"},{"family":"Abedini","given":"Atefeh"},{"family":"Rico","given":"Charlene"},{"family":"Godin","given":"Philippe"},{"family":"Paquet","given":"Marilène"},{"family":"DeMayo","given":"Francesco J."},{"family":"Boerboom","given":"Derek"}],"issued":{"date-parts":[["2019",7,1]]}}}],"schema":"https://github.com/citation-style-language/schema/raw/master/csl-citation.json"} </w:instrText>
            </w:r>
            <w:r w:rsidRPr="008565AB">
              <w:rPr>
                <w:rFonts w:ascii="Arial" w:eastAsia="Times New Roman" w:hAnsi="Arial" w:cs="Arial"/>
                <w:color w:val="000000"/>
                <w:sz w:val="18"/>
                <w:szCs w:val="18"/>
                <w:lang w:val="fr-FR"/>
              </w:rPr>
              <w:fldChar w:fldCharType="separate"/>
            </w:r>
            <w:r w:rsidR="001C71BD" w:rsidRPr="001C71BD">
              <w:rPr>
                <w:rFonts w:ascii="Arial" w:hAnsi="Arial" w:cs="Arial"/>
                <w:sz w:val="18"/>
              </w:rPr>
              <w:t>(43,44)</w:t>
            </w:r>
            <w:r w:rsidRPr="008565AB">
              <w:rPr>
                <w:rFonts w:ascii="Arial" w:eastAsia="Times New Roman" w:hAnsi="Arial" w:cs="Arial"/>
                <w:color w:val="000000"/>
                <w:sz w:val="18"/>
                <w:szCs w:val="18"/>
                <w:lang w:val="fr-FR"/>
              </w:rPr>
              <w:fldChar w:fldCharType="end"/>
            </w:r>
          </w:p>
        </w:tc>
        <w:tc>
          <w:tcPr>
            <w:tcW w:w="599" w:type="pct"/>
            <w:shd w:val="clear" w:color="auto" w:fill="auto"/>
            <w:noWrap/>
            <w:vAlign w:val="bottom"/>
            <w:hideMark/>
          </w:tcPr>
          <w:p w14:paraId="23BB69EC" w14:textId="77777777" w:rsidR="00BF211E" w:rsidRPr="008565AB" w:rsidRDefault="00BF211E" w:rsidP="00386B4F">
            <w:pPr>
              <w:spacing w:after="0" w:line="240" w:lineRule="auto"/>
              <w:jc w:val="right"/>
              <w:rPr>
                <w:rFonts w:ascii="Arial" w:eastAsia="Times New Roman" w:hAnsi="Arial" w:cs="Arial"/>
                <w:color w:val="000000"/>
                <w:sz w:val="18"/>
                <w:szCs w:val="18"/>
              </w:rPr>
            </w:pPr>
            <w:r w:rsidRPr="008565AB">
              <w:rPr>
                <w:rFonts w:ascii="Arial" w:hAnsi="Arial" w:cs="Arial"/>
                <w:color w:val="000000"/>
                <w:sz w:val="18"/>
                <w:szCs w:val="18"/>
              </w:rPr>
              <w:t>1.82</w:t>
            </w:r>
          </w:p>
        </w:tc>
        <w:tc>
          <w:tcPr>
            <w:tcW w:w="747" w:type="pct"/>
            <w:shd w:val="clear" w:color="auto" w:fill="auto"/>
            <w:noWrap/>
            <w:vAlign w:val="bottom"/>
            <w:hideMark/>
          </w:tcPr>
          <w:p w14:paraId="67DB4C16" w14:textId="228A20DA" w:rsidR="00BF211E" w:rsidRPr="0097360C" w:rsidRDefault="00BF211E" w:rsidP="00386B4F">
            <w:pPr>
              <w:spacing w:after="0" w:line="240" w:lineRule="auto"/>
              <w:rPr>
                <w:rFonts w:ascii="Arial" w:eastAsia="Times New Roman" w:hAnsi="Arial" w:cs="Arial"/>
                <w:color w:val="000000"/>
                <w:sz w:val="18"/>
                <w:szCs w:val="18"/>
              </w:rPr>
            </w:pPr>
            <w:r w:rsidRPr="0097360C">
              <w:rPr>
                <w:rFonts w:ascii="Arial" w:eastAsia="Times New Roman" w:hAnsi="Arial" w:cs="Arial"/>
                <w:color w:val="000000"/>
                <w:sz w:val="18"/>
                <w:szCs w:val="18"/>
              </w:rPr>
              <w:t xml:space="preserve">Top2a </w:t>
            </w:r>
            <w:r w:rsidRPr="00D50FDC">
              <w:rPr>
                <w:rFonts w:ascii="Arial" w:eastAsia="Times New Roman" w:hAnsi="Arial" w:cs="Arial"/>
                <w:color w:val="000000"/>
                <w:sz w:val="18"/>
                <w:szCs w:val="18"/>
              </w:rPr>
              <w:fldChar w:fldCharType="begin"/>
            </w:r>
            <w:r w:rsidR="001C71BD">
              <w:rPr>
                <w:rFonts w:ascii="Arial" w:eastAsia="Times New Roman" w:hAnsi="Arial" w:cs="Arial"/>
                <w:color w:val="000000"/>
                <w:sz w:val="18"/>
                <w:szCs w:val="18"/>
              </w:rPr>
              <w:instrText xml:space="preserve"> ADDIN ZOTERO_ITEM CSL_CITATION {"citationID":"XAvA9sD4","properties":{"formattedCitation":"(4)","plainCitation":"(4)","noteIndex":0},"citationItems":[{"id":283,"uris":["http://zotero.org/users/local/Cg9l0yK5/items/7FG7DEMQ"],"itemData":{"id":283,"type":"article-journal","abstract":"Type II topoisomerases are ubiquitous enzymes in all branches of life that can alter DNA superhelicity and unlink double-stranded DNA segments during processes such as  replication and transcription. In cells, type II topoisomerases are particularly  useful for their ability to disentangle newly-replicated sister chromosomes. Growing  lines of evidence indicate that eukaryotic topoisomerase II (topo II) activity is  monitored and regulated throughout the cell cycle. Here, we discuss the various  roles of topo II throughout the cell cycle, as well as mechanisms that have been  found to govern and/or respond to topo II function and dysfunction. Knowledge of how  topo II activity is controlled during cell cycle progression is important for  understanding how its misregulation can contribute to genetic instability and how  modulatory pathways may be exploited to advance chemotherapeutic development.","container-title":"Genes","DOI":"10.3390/genes10110859","ISSN":"2073-4425","issue":"11","journalAbbreviation":"Genes (Basel)","language":"eng","note":"PMID: 31671531 \nPMCID: PMC6896119","title":"Cell Cycle-Dependent Control and Roles of DNA Topoisomerase II.","volume":"10","author":[{"family":"Lee","given":"Joyce H."},{"family":"Berger","given":"James M."}],"issued":{"date-parts":[["2019",10,30]]}}}],"schema":"https://github.com/citation-style-language/schema/raw/master/csl-citation.json"} </w:instrText>
            </w:r>
            <w:r w:rsidRPr="00D50FDC">
              <w:rPr>
                <w:rFonts w:ascii="Arial" w:eastAsia="Times New Roman" w:hAnsi="Arial" w:cs="Arial"/>
                <w:color w:val="000000"/>
                <w:sz w:val="18"/>
                <w:szCs w:val="18"/>
              </w:rPr>
              <w:fldChar w:fldCharType="separate"/>
            </w:r>
            <w:r w:rsidR="001C71BD" w:rsidRPr="001C71BD">
              <w:rPr>
                <w:rFonts w:ascii="Arial" w:hAnsi="Arial" w:cs="Arial"/>
                <w:sz w:val="18"/>
              </w:rPr>
              <w:t>(4)</w:t>
            </w:r>
            <w:r w:rsidRPr="00D50FDC">
              <w:rPr>
                <w:rFonts w:ascii="Arial" w:eastAsia="Times New Roman" w:hAnsi="Arial" w:cs="Arial"/>
                <w:color w:val="000000"/>
                <w:sz w:val="18"/>
                <w:szCs w:val="18"/>
              </w:rPr>
              <w:fldChar w:fldCharType="end"/>
            </w:r>
          </w:p>
        </w:tc>
        <w:tc>
          <w:tcPr>
            <w:tcW w:w="488" w:type="pct"/>
            <w:shd w:val="clear" w:color="auto" w:fill="auto"/>
            <w:noWrap/>
            <w:vAlign w:val="bottom"/>
            <w:hideMark/>
          </w:tcPr>
          <w:p w14:paraId="6302E186" w14:textId="77777777" w:rsidR="00BF211E" w:rsidRPr="0097360C" w:rsidRDefault="00BF211E" w:rsidP="00386B4F">
            <w:pPr>
              <w:spacing w:after="0" w:line="240" w:lineRule="auto"/>
              <w:jc w:val="right"/>
              <w:rPr>
                <w:rFonts w:ascii="Arial" w:eastAsia="Times New Roman" w:hAnsi="Arial" w:cs="Arial"/>
                <w:color w:val="000000"/>
                <w:sz w:val="18"/>
                <w:szCs w:val="18"/>
              </w:rPr>
            </w:pPr>
            <w:r w:rsidRPr="00A60B9C">
              <w:rPr>
                <w:rFonts w:ascii="Arial" w:hAnsi="Arial" w:cs="Arial"/>
                <w:color w:val="000000"/>
                <w:sz w:val="18"/>
                <w:szCs w:val="18"/>
              </w:rPr>
              <w:t>1.74</w:t>
            </w:r>
          </w:p>
        </w:tc>
        <w:tc>
          <w:tcPr>
            <w:tcW w:w="750" w:type="pct"/>
            <w:vAlign w:val="bottom"/>
          </w:tcPr>
          <w:p w14:paraId="0092C35A" w14:textId="04FA3162" w:rsidR="00BF211E" w:rsidRPr="0097360C" w:rsidRDefault="00BF211E" w:rsidP="00386B4F">
            <w:pPr>
              <w:spacing w:after="0" w:line="240" w:lineRule="auto"/>
              <w:rPr>
                <w:rFonts w:ascii="Arial" w:eastAsia="Times New Roman" w:hAnsi="Arial" w:cs="Arial"/>
                <w:color w:val="000000"/>
                <w:sz w:val="18"/>
                <w:szCs w:val="18"/>
                <w:lang w:val="fr-FR"/>
              </w:rPr>
            </w:pPr>
            <w:proofErr w:type="spellStart"/>
            <w:r>
              <w:rPr>
                <w:rFonts w:ascii="Calibri" w:hAnsi="Calibri" w:cs="Calibri"/>
                <w:color w:val="000000"/>
              </w:rPr>
              <w:t>Tnc</w:t>
            </w:r>
            <w:proofErr w:type="spellEnd"/>
            <w:r>
              <w:rPr>
                <w:rFonts w:ascii="Calibri" w:hAnsi="Calibri" w:cs="Calibri"/>
                <w:color w:val="000000"/>
              </w:rPr>
              <w:t xml:space="preserve"> </w:t>
            </w:r>
            <w:r w:rsidRPr="00D50FDC">
              <w:rPr>
                <w:rFonts w:ascii="Arial" w:eastAsia="Times New Roman" w:hAnsi="Arial" w:cs="Arial"/>
                <w:color w:val="000000"/>
                <w:sz w:val="18"/>
                <w:szCs w:val="18"/>
                <w:lang w:val="fr-FR"/>
              </w:rPr>
              <w:fldChar w:fldCharType="begin"/>
            </w:r>
            <w:r w:rsidR="001C71BD">
              <w:rPr>
                <w:rFonts w:ascii="Arial" w:eastAsia="Times New Roman" w:hAnsi="Arial" w:cs="Arial"/>
                <w:color w:val="000000"/>
                <w:sz w:val="18"/>
                <w:szCs w:val="18"/>
                <w:lang w:val="fr-FR"/>
              </w:rPr>
              <w:instrText xml:space="preserve"> ADDIN ZOTERO_ITEM CSL_CITATION {"citationID":"33jQC5oz","properties":{"formattedCitation":"(11,43)","plainCitation":"(11,43)","noteIndex":0},"citationItems":[{"id":81,"uris":["http://zotero.org/users/local/Cg9l0yK5/items/L7C2IXJI"],"itemData":{"id":81,"type":"article-journal","abstract":"BACKGROUND: Ovulation and luteinization of follicles are complex biological processes initiated by the preovulatory luteinizing hormone surge. The objective of  this study was to identify genes that are differentially expressed in bovine  granulosa cells (GC) of ovulatory follicles. METHODS: Granulosa cells were collected  during the first follicular wave of the bovine estrous cycle from dominant follicles  (DF) and from ovulatory follicles (OF) obtained 24 h following injection of human  chorionic gonadotropin (hCG). A granulosa cell subtracted cDNA library (OF-DF) was  generated using suppression subtractive hybridization and screened. RESULTS:  Detection of genes known to be upregulated in bovine GC during ovulation, such as  ADAMTS1, CAV1, EGR1, MMP1, PLAT, PLA2G4A, PTGES, PTGS2, RGS2, TIMP1, TNFAIP6 and  VNN2 validated the physiological model and analytical techniques used. For a subset  of genes that were identified for the first time, gene expression profiles were  further compared by semiquantitative RT-PCR in follicles obtained at different  developmental stages. Results confirmed an induction or upregulation of the  respective mRNAs in GC of OF 24 h after hCG-injection compared with those of DF for  the following genes: ADAMTS9, ARAF, CAPN2, CRISPLD2, FKBP5, GFPT2, KIT, KITLG,  L3MBLT3, MRO, NUDT10, NUDT11, P4HA3, POSTN, PSAP, RBP1, SAT1, SDC4, TIMP2, TNC and  USP53. In bovine GC, CRISPLD2 and POSTN mRNA were found as full-length transcript  whereas L3MBLT3 mRNA was alternatively spliced resulting in a truncated protein  missing the carboxy-terminal end amino acids, (774)KNSHNEL(780). Conversely, L3MBLT3  is expressed as a full-length mRNA in a bovine endometrial cell line. The  (774)KNSHNEL(780) sequence is well conserved in all mammalian species and follows a  SAM domain known to confer protein/protein interactions, which suggest a key  function for these amino acids in the epigenetic control of gene expression.  CONCLUSIONS: We conclude that we have identified novel genes that are upregulated by  hCG in bovine GC of OF, thereby providing novel insight into peri-ovulatory  regulation of genes that contribute to ovulation and/or luteinization processes.","container-title":"Reproductive biology and endocrinology : RB&amp;E","DOI":"10.1186/s12958-017-0306-x","ISSN":"1477-7827","issue":"1","journalAbbreviation":"Reprod Biol Endocrinol","language":"eng","note":"PMID: 29100496 \nPMCID: PMC5670713","page":"88","title":"Gene expression profiling of upregulated mRNAs in granulosa cells of bovine ovulatory follicles following stimulation with hCG.","volume":"15","author":[{"family":"Lussier","given":"Jacques G."},{"family":"Diouf","given":"Mame N."},{"family":"Lévesque","given":"Valérie"},{"family":"Sirois","given":"Jean"},{"family":"Ndiaye","given":"Kalidou"}],"issued":{"date-parts":[["2017",11,3]]}}},{"id":263,"uris":["http://zotero.org/users/local/Cg9l0yK5/items/QAKQWAWN"],"itemData":{"id":263,"type":"article-journal","abstract":"Ovulation is a complex process initiated by the preovulatory LH surge, characterized by cumulus oocyte complex (COC) expansion and completed by the release of a mature  oocyte. Although many ovarian genes that impact ovulation have been identified, we  hypothesized that genes selectively expressed in COCs would be overlooked by  approaches using whole ovary or granulosa cell samples. RNA isolated from COCs  collected from preovulatory follicles of equine chorionic gonadotropin (CG) primed  mice and at selected times after human CG treatment was subjected to microarray  analyses and results confirmed by RT-PCR analyses, Western blotting, and  immunofluorescent studies. A remarkable number of genes were up-regulated in COCs  including Areg, Ereg, and Btc. Several genes selectively expressed in cumulus cells  compared with granulosa cells were related to neuronal (Mbp, Tnc, Nts) or immune  (Alcam, Pdcd1, Cd34, Cd52, and Cxcr4) cell function. In addition to Sfrp2, other  members of the Wnt/Fzd family (Sfrp4, Fdz1 and Fdz2) were expressed in COCs. Thus,  there is a cumulus cell-specific, terminal differentiation process. Furthermore,  immunofluorescent analyses documented that cumulus cells are highly mitotic for 4-8  h after human CG and then cease dividing in association with reduced levels of Ccnd2  mRNA. Other down-regulated genes included: Cyp19a1, Fshr, Inhb, and the oocyte  factors Zp1-3 and Gja4. In summary, the vast number of matrix, neuronal, and  especially immune cell-related genes identified by the gene- profiling data of COCs  constitutes strong and novel evidence that cumulus cells possess a repertoire of  immune functions that could be far greater than simply mediating an  inflammatory-like response.","container-title":"Molecular endocrinology (Baltimore, Md.)","DOI":"10.1210/me.2005-0420","ISSN":"0888-8809","issue":"6","journalAbbreviation":"Mol Endocrinol","language":"eng","note":"publisher-place: United States\nPMID: 16455817","page":"1300-1321","title":"Gene expression profiles of cumulus cell oocyte complexes during ovulation reveal cumulus cells express neuronal and immune-related genes: does this expand their role  in the ovulation process?","volume":"20","author":[{"family":"Hernandez-Gonzalez","given":"Inmaculada"},{"family":"Gonzalez-Robayna","given":"Ignacio"},{"family":"Shimada","given":"Masayuki"},{"family":"Wayne","given":"Chad M."},{"family":"Ochsner","given":"Scott A."},{"family":"White","given":"Lisa"},{"family":"Richards","given":"JoAnne S."}],"issued":{"date-parts":[["2006",6]]}}}],"schema":"https://github.com/citation-style-language/schema/raw/master/csl-citation.json"} </w:instrText>
            </w:r>
            <w:r w:rsidRPr="00D50FDC">
              <w:rPr>
                <w:rFonts w:ascii="Arial" w:eastAsia="Times New Roman" w:hAnsi="Arial" w:cs="Arial"/>
                <w:color w:val="000000"/>
                <w:sz w:val="18"/>
                <w:szCs w:val="18"/>
                <w:lang w:val="fr-FR"/>
              </w:rPr>
              <w:fldChar w:fldCharType="separate"/>
            </w:r>
            <w:r w:rsidR="001C71BD" w:rsidRPr="001C71BD">
              <w:rPr>
                <w:rFonts w:ascii="Arial" w:hAnsi="Arial" w:cs="Arial"/>
                <w:sz w:val="18"/>
              </w:rPr>
              <w:t>(11,43)</w:t>
            </w:r>
            <w:r w:rsidRPr="00D50FDC">
              <w:rPr>
                <w:rFonts w:ascii="Arial" w:eastAsia="Times New Roman" w:hAnsi="Arial" w:cs="Arial"/>
                <w:color w:val="000000"/>
                <w:sz w:val="18"/>
                <w:szCs w:val="18"/>
                <w:lang w:val="fr-FR"/>
              </w:rPr>
              <w:fldChar w:fldCharType="end"/>
            </w:r>
          </w:p>
        </w:tc>
        <w:tc>
          <w:tcPr>
            <w:tcW w:w="480" w:type="pct"/>
            <w:shd w:val="clear" w:color="auto" w:fill="auto"/>
            <w:noWrap/>
            <w:vAlign w:val="bottom"/>
            <w:hideMark/>
          </w:tcPr>
          <w:p w14:paraId="195CF5DE" w14:textId="77777777" w:rsidR="00BF211E" w:rsidRPr="00FB108C" w:rsidRDefault="00BF211E" w:rsidP="00386B4F">
            <w:pPr>
              <w:spacing w:after="0" w:line="240" w:lineRule="auto"/>
              <w:jc w:val="right"/>
              <w:rPr>
                <w:rFonts w:ascii="Arial" w:eastAsia="Times New Roman" w:hAnsi="Arial" w:cs="Arial"/>
                <w:color w:val="000000"/>
                <w:sz w:val="18"/>
                <w:szCs w:val="18"/>
              </w:rPr>
            </w:pPr>
            <w:r w:rsidRPr="00FB108C">
              <w:rPr>
                <w:rFonts w:ascii="Arial" w:hAnsi="Arial" w:cs="Arial"/>
                <w:color w:val="000000"/>
                <w:sz w:val="18"/>
                <w:szCs w:val="18"/>
              </w:rPr>
              <w:t>2.42</w:t>
            </w:r>
          </w:p>
        </w:tc>
      </w:tr>
      <w:tr w:rsidR="001C71BD" w:rsidRPr="0097360C" w14:paraId="2FC2BC7F" w14:textId="77777777" w:rsidTr="00386B4F">
        <w:trPr>
          <w:trHeight w:val="290"/>
        </w:trPr>
        <w:tc>
          <w:tcPr>
            <w:tcW w:w="761" w:type="pct"/>
            <w:vAlign w:val="bottom"/>
          </w:tcPr>
          <w:p w14:paraId="2275292E" w14:textId="5FD799DD" w:rsidR="00BF211E" w:rsidRPr="0097360C" w:rsidRDefault="00BF211E" w:rsidP="00386B4F">
            <w:pPr>
              <w:spacing w:after="0" w:line="240" w:lineRule="auto"/>
              <w:rPr>
                <w:rFonts w:ascii="Arial" w:eastAsia="Times New Roman" w:hAnsi="Arial" w:cs="Arial"/>
                <w:color w:val="000000"/>
                <w:sz w:val="18"/>
                <w:szCs w:val="18"/>
              </w:rPr>
            </w:pPr>
            <w:r>
              <w:rPr>
                <w:rFonts w:ascii="Calibri" w:hAnsi="Calibri" w:cs="Calibri"/>
                <w:color w:val="000000"/>
              </w:rPr>
              <w:t xml:space="preserve">Mt2 </w:t>
            </w:r>
            <w:r w:rsidRPr="00D50FDC">
              <w:rPr>
                <w:rFonts w:ascii="Arial" w:eastAsia="Times New Roman" w:hAnsi="Arial" w:cs="Arial"/>
                <w:color w:val="000000"/>
                <w:sz w:val="18"/>
                <w:szCs w:val="18"/>
                <w:lang w:val="fr-FR"/>
              </w:rPr>
              <w:fldChar w:fldCharType="begin"/>
            </w:r>
            <w:r w:rsidR="001C71BD">
              <w:rPr>
                <w:rFonts w:ascii="Arial" w:eastAsia="Times New Roman" w:hAnsi="Arial" w:cs="Arial"/>
                <w:color w:val="000000"/>
                <w:sz w:val="18"/>
                <w:szCs w:val="18"/>
                <w:lang w:val="fr-FR"/>
              </w:rPr>
              <w:instrText xml:space="preserve"> ADDIN ZOTERO_ITEM CSL_CITATION {"citationID":"fqWDQ1lC","properties":{"formattedCitation":"(30,45,46)","plainCitation":"(30,45,46)","noteIndex":0},"citationItems":[{"id":140,"uris":["http://zotero.org/users/local/Cg9l0yK5/items/2YF3KAQ2"],"itemData":{"id":140,"type":"article-journal","abstract":"Ovarian granulosa cells (GCs) are a critical approach to investigate the mechanism of gene regulation during folliculogenesis. The objective of this study was to  investigate the role of MT2 in bovine GCs, and assess whether MT2 silencing affected  GCs response to melatonin. We found that MT2 silencing significantly decreased the  secretion of progesterone and estradiol, and increased the concentration of inhibin  B and activin B. To further reveal the regulatory mechanism of MT2 silencing on  steroids synthesis, it was found that the expression of CYP19A1 and CYP11A1 enzymes  (steroid hormone synthesis) were down-regulated, while genes related to hormonal  synthesis (StAR, RUNX2, INHA and INHBB) were up-regulated without affecting the  expression of INHBA, suggesting that MT2 silencing may regulate hormone abundance.  Furthermore, MT2 silencing significantly increased the expression of TGFBR3 and  BMP6, and decreased the expression of LHR and DNMT1A without significant difference  in the expression of FSHR and EGFR. In addition, MT2 silencing didn't affect the  effect of melatonin on increasing the expression of DNMT1A, EGFR, INHBA and LHR, and  progesterone level, or decreasing INHA, TGFBR3 and StAR expression, and production  of inhibin B. Moreover, MT2 silencing could disrupt the role of melatonin in  decreasing the FSHR, INHBB and BMP6 expression, and activin B secretion. In  conclusion, these results reveal that melatonin and MT2 are essential regulator of  bovine GCs function by modulating reproduction-related genes expression, hormones  secretion and other regulators of folliculogenesis.","container-title":"International journal of molecular sciences","DOI":"10.3390/ijms19072028","ISSN":"1422-0067","issue":"7","journalAbbreviation":"Int J Mol Sci","language":"eng","note":"PMID: 30002300 \nPMCID: PMC6073438","title":"The Mechanism of Melatonin and Its Receptor MT2 Involved in the Development of Bovine Granulosa Cells.","volume":"19","author":[{"family":"Wang","given":"Shujuan"},{"family":"Liu","given":"Wenju"},{"family":"Pang","given":"Xunsheng"},{"family":"Dai","given":"Sifa"},{"family":"Liu","given":"Guodong"}],"issued":{"date-parts":[["2018",7,12]]}}},{"id":150,"uris":["http://zotero.org/users/local/Cg9l0yK5/items/4GXAZS6R"],"itemData":{"id":150,"type":"article-journal","abstract":"At the late 1940s, 17β-HSD1 was discovered as the first member of the 17β-HSD family with its gene cloned. The three-dimensional structure of human 17β-HSD1 is the first  example of any human steroid converting enzyme. The human enzyme's structure and  biological function have thus been studied extensively in the last two decades. In  humans, the enzyme is expressed in placenta, ovary, endometrium and breast. The high  activity of estrogen activation provides the basis of 17β-HSD1's implication in  estrogen-dependent diseases, such as breast cancer, endometriosis and non-small cell  lung carcinomas. Its dual function in estrogen activation and androgen inactivation  has been revealed in molecular and breast cancer cell levels, significantly  stimulating the proliferation of such cells. The enzyme's overexpression in breast  cancer was demonstrated by clinical samples. Inhibition of human 17β-HSD1 led to  xenograft tumor shrinkage. Unfortunately, through decades of studies, there is still  no drug using the enzyme's inhibitors available. This is due to the difficulty to  get rid of the estrogenic activity of its inhibitors, which are mostly estrogen  analogues. New non-steroid inhibitors for the enzyme provide new hope for  non-estrogenic inhibitors of the enzyme.","container-title":"Gene","DOI":"10.1016/j.gene.2016.04.031","ISSN":"1879-0038 0378-1119","issue":"1","journalAbbreviation":"Gene","language":"eng","license":"Copyright © 2016 Elsevier B.V. All rights reserved.","note":"PMID: 27102893 \nPMCID: PMC6649686","page":"54-61","title":"Current knowledge of the multifunctional 17β-hydroxysteroid dehydrogenase type 1 (HSD17B1).","volume":"588","author":[{"family":"He","given":"Wanhong"},{"family":"Gauri","given":"Misra"},{"family":"Li","given":"Tang"},{"family":"Wang","given":"Ruixuan"},{"family":"Lin","given":"Sheng-Xiang"}],"issued":{"date-parts":[["2016",8,15]]}}},{"id":238,"uris":["http://zotero.org/users/local/Cg9l0yK5/items/DLMF3IST"],"itemData":{"id":238,"type":"article-journal","abstract":"Melatonin and its receptors have been detected in the ovary of many species, and mediate ovarian functions. The present study was designed to investigate the  expression and subcellar location of melatonin receptors in bovine granulosa cells  (GCs), using reverse transcription (RT) polymerase chain reaction, Western blot, and  immunofluorescence analyses. Furthermore, expression level of melatonin receptors  mRNA (real-time polymerase chain reaction) after treatment with various  concentrations of melatonin, as well as its effects on cell apoptosis,  proliferation, and steroidogenesis (by flow cytometry and RIA), were determined. In  bovine GCs, melatonin receptors MT1 and MT2 were differentially located at the cell  membrane, the cytoplasm, and nuclear membranes. The expression of MT1 and MT2 mRNA  was regulated differently by melatonin in time- and dose-dependent manners.  Exogenous melatonin suppressed cell apoptosis (P &lt; 0.05) but not proliferation (P &gt;  0.05). After 72 h, the apoptotic rate was significantly inhibited in all treatment  groups. Meanwhile, melatonin supplementation stimulated progesterone production, but  inhibited estradiol biosynthesis, in a time-dependent manner. Progesterone  production was highest (P &lt; 0.05) at 72 h. Estradiol concentrations were almost  unaffected (P &gt; 0.05) at 24 h, but were decreased (P &lt; 0.05) at 48 h. In conclusion,  exogenous melatonin acts via receptors and has important roles in regulation of  development and function of bovine GCs.","container-title":"Theriogenology","DOI":"10.1016/j.theriogenology.2012.06.019","ISSN":"1879-3231 0093-691X","issue":"7","journalAbbreviation":"Theriogenology","language":"eng","license":"Copyright © 2012 Elsevier Inc. All rights reserved.","note":"publisher-place: United States\nPMID: 22980085","page":"1517-1526","title":"Melatonin suppresses apoptosis and stimulates progesterone production by bovine granulosa cells via its receptors (MT1 and MT2).","volume":"78","author":[{"family":"Wang","given":"S. J."},{"family":"Liu","given":"W. J."},{"family":"Wu","given":"C. J."},{"family":"Ma","given":"F. H."},{"family":"Ahmad","given":"S."},{"family":"Liu","given":"B. R."},{"family":"Han","given":"L."},{"family":"Jiang","given":"X. P."},{"family":"Zhang","given":"S. J."},{"family":"Yang","given":"L. G."}],"issued":{"date-parts":[["2012",10,15]]}}}],"schema":"https://github.com/citation-style-language/schema/raw/master/csl-citation.json"} </w:instrText>
            </w:r>
            <w:r w:rsidRPr="00D50FDC">
              <w:rPr>
                <w:rFonts w:ascii="Arial" w:eastAsia="Times New Roman" w:hAnsi="Arial" w:cs="Arial"/>
                <w:color w:val="000000"/>
                <w:sz w:val="18"/>
                <w:szCs w:val="18"/>
                <w:lang w:val="fr-FR"/>
              </w:rPr>
              <w:fldChar w:fldCharType="separate"/>
            </w:r>
            <w:r w:rsidR="001C71BD" w:rsidRPr="001C71BD">
              <w:rPr>
                <w:rFonts w:ascii="Arial" w:hAnsi="Arial" w:cs="Arial"/>
                <w:sz w:val="18"/>
              </w:rPr>
              <w:t>(30,45,46)</w:t>
            </w:r>
            <w:r w:rsidRPr="00D50FDC">
              <w:rPr>
                <w:rFonts w:ascii="Arial" w:eastAsia="Times New Roman" w:hAnsi="Arial" w:cs="Arial"/>
                <w:color w:val="000000"/>
                <w:sz w:val="18"/>
                <w:szCs w:val="18"/>
                <w:lang w:val="fr-FR"/>
              </w:rPr>
              <w:fldChar w:fldCharType="end"/>
            </w:r>
          </w:p>
        </w:tc>
        <w:tc>
          <w:tcPr>
            <w:tcW w:w="521" w:type="pct"/>
            <w:shd w:val="clear" w:color="auto" w:fill="auto"/>
            <w:noWrap/>
            <w:vAlign w:val="bottom"/>
            <w:hideMark/>
          </w:tcPr>
          <w:p w14:paraId="03B99CC6" w14:textId="77777777" w:rsidR="00BF211E" w:rsidRPr="00FB108C" w:rsidRDefault="00BF211E" w:rsidP="00386B4F">
            <w:pPr>
              <w:spacing w:after="0" w:line="240" w:lineRule="auto"/>
              <w:jc w:val="right"/>
              <w:rPr>
                <w:rFonts w:ascii="Arial" w:eastAsia="Times New Roman" w:hAnsi="Arial" w:cs="Arial"/>
                <w:color w:val="000000"/>
                <w:sz w:val="18"/>
                <w:szCs w:val="18"/>
              </w:rPr>
            </w:pPr>
            <w:r w:rsidRPr="00FB108C">
              <w:rPr>
                <w:rFonts w:ascii="Arial" w:hAnsi="Arial" w:cs="Arial"/>
                <w:color w:val="000000"/>
                <w:sz w:val="18"/>
                <w:szCs w:val="18"/>
              </w:rPr>
              <w:t>2.30</w:t>
            </w:r>
          </w:p>
        </w:tc>
        <w:tc>
          <w:tcPr>
            <w:tcW w:w="653" w:type="pct"/>
            <w:vAlign w:val="bottom"/>
          </w:tcPr>
          <w:p w14:paraId="02C0059A" w14:textId="46FF4AA3" w:rsidR="00BF211E" w:rsidRPr="008565AB" w:rsidRDefault="00BF211E" w:rsidP="00386B4F">
            <w:pPr>
              <w:spacing w:after="0" w:line="240" w:lineRule="auto"/>
              <w:rPr>
                <w:rFonts w:ascii="Arial" w:eastAsia="Times New Roman" w:hAnsi="Arial" w:cs="Arial"/>
                <w:color w:val="000000"/>
                <w:sz w:val="18"/>
                <w:szCs w:val="18"/>
              </w:rPr>
            </w:pPr>
            <w:r w:rsidRPr="008565AB">
              <w:rPr>
                <w:rFonts w:ascii="Arial" w:hAnsi="Arial" w:cs="Arial"/>
                <w:color w:val="000000"/>
                <w:sz w:val="18"/>
                <w:szCs w:val="18"/>
              </w:rPr>
              <w:t xml:space="preserve">Cyp11a1 </w:t>
            </w:r>
            <w:r w:rsidRPr="008565AB">
              <w:rPr>
                <w:rFonts w:ascii="Arial" w:eastAsia="Times New Roman" w:hAnsi="Arial" w:cs="Arial"/>
                <w:color w:val="000000"/>
                <w:sz w:val="18"/>
                <w:szCs w:val="18"/>
              </w:rPr>
              <w:t xml:space="preserve"> </w:t>
            </w:r>
            <w:r w:rsidRPr="008565AB">
              <w:rPr>
                <w:rFonts w:ascii="Arial" w:eastAsia="Times New Roman" w:hAnsi="Arial" w:cs="Arial"/>
                <w:color w:val="000000"/>
                <w:sz w:val="18"/>
                <w:szCs w:val="18"/>
              </w:rPr>
              <w:fldChar w:fldCharType="begin"/>
            </w:r>
            <w:r w:rsidR="001C71BD">
              <w:rPr>
                <w:rFonts w:ascii="Arial" w:eastAsia="Times New Roman" w:hAnsi="Arial" w:cs="Arial"/>
                <w:color w:val="000000"/>
                <w:sz w:val="18"/>
                <w:szCs w:val="18"/>
              </w:rPr>
              <w:instrText xml:space="preserve"> ADDIN ZOTERO_ITEM CSL_CITATION {"citationID":"vMeHtPic","properties":{"formattedCitation":"(47)","plainCitation":"(47)","noteIndex":0},"citationItems":[{"id":90,"uris":["http://zotero.org/users/local/Cg9l0yK5/items/3RC62XXH"],"itemData":{"id":90,"type":"article-journal","abstract":"During growth of antral ovarian follicles granulosa cells first become associated with a novel type of extracellular matrix, focimatrix, and at larger sizes follicles  become either subordinate or dominant. To examine this, bovine subordinate  (9.0+/-S.E.M. 0.4 mm; n=16), partially dominant (12.0+/-0.6 mm; n=18) and fully  dominant (15.0+/-0.4 mm; n=14) follicles were examined by real time RT-PCR analyses  of granulosa cells and by immunohistochemistry of focimatrix. Changes in the  expression of FSH receptor, LH receptor, cholesterol side-chain cleavage (CYP11A1),  3beta-hydroxysteroid dehydrogenase, aromatase (CYP19A1) and inhibin-alpha and beta-B  were observed as expected for follicle sizes examined. After adjusting for size  differences, only CYP11A1 was significantly different between the groups, and  elevated in dominant follicles. Also after adjusting for differences in size there  were no significant differences in expression of focimatrix components collagen type  IV alpha-1 (COL4A1), laminin beta-2, nidogen 1 (NID1), and perlecan (HSPG2) or the  volume density of NID1 and -2 and HSPG2. The volume density of focimatrix components  in laminin 111 was significantly elevated in dominant follicles. Adjusting for  analysis of more than one follicle per animal and for multiple correlations, CYP11A1  mRNA levels were highly correlated with the focimatrix genes COL4A1, NID1 and -2 and  HSPG2. Thus, focimatrix may potentially regulate CYP11A1 expression, and the  regulation of both could be important in follicular dominance.","container-title":"Reproduction (Cambridge, England)","DOI":"10.1530/REP-08-0485","ISSN":"1741-7899 1470-1626","issue":"5","journalAbbreviation":"Reproduction","language":"eng","note":"publisher-place: England\nPMID: 19261832","page":"825-834","title":"Studies of granulosa cell maturation in dominant and subordinate bovine follicles: novel extracellular matrix focimatrix is co-ordinately regulated with cholesterol  side-chain cleavage CYP11A1.","volume":"137","author":[{"family":"Irving-Rodgers","given":"H. F."},{"family":"Harland","given":"M. L."},{"family":"Sullivan","given":"T. R."},{"family":"Rodgers","given":"R. J."}],"issued":{"date-parts":[["2009",5]]}}}],"schema":"https://github.com/citation-style-language/schema/raw/master/csl-citation.json"} </w:instrText>
            </w:r>
            <w:r w:rsidRPr="008565AB">
              <w:rPr>
                <w:rFonts w:ascii="Arial" w:eastAsia="Times New Roman" w:hAnsi="Arial" w:cs="Arial"/>
                <w:color w:val="000000"/>
                <w:sz w:val="18"/>
                <w:szCs w:val="18"/>
              </w:rPr>
              <w:fldChar w:fldCharType="separate"/>
            </w:r>
            <w:r w:rsidR="001C71BD" w:rsidRPr="001C71BD">
              <w:rPr>
                <w:rFonts w:ascii="Arial" w:hAnsi="Arial" w:cs="Arial"/>
                <w:sz w:val="18"/>
              </w:rPr>
              <w:t>(47)</w:t>
            </w:r>
            <w:r w:rsidRPr="008565AB">
              <w:rPr>
                <w:rFonts w:ascii="Arial" w:eastAsia="Times New Roman" w:hAnsi="Arial" w:cs="Arial"/>
                <w:color w:val="000000"/>
                <w:sz w:val="18"/>
                <w:szCs w:val="18"/>
              </w:rPr>
              <w:fldChar w:fldCharType="end"/>
            </w:r>
          </w:p>
        </w:tc>
        <w:tc>
          <w:tcPr>
            <w:tcW w:w="599" w:type="pct"/>
            <w:shd w:val="clear" w:color="auto" w:fill="auto"/>
            <w:noWrap/>
            <w:vAlign w:val="bottom"/>
            <w:hideMark/>
          </w:tcPr>
          <w:p w14:paraId="1BA3A07A" w14:textId="77777777" w:rsidR="00BF211E" w:rsidRPr="008565AB" w:rsidRDefault="00BF211E" w:rsidP="00386B4F">
            <w:pPr>
              <w:spacing w:after="0" w:line="240" w:lineRule="auto"/>
              <w:jc w:val="right"/>
              <w:rPr>
                <w:rFonts w:ascii="Arial" w:eastAsia="Times New Roman" w:hAnsi="Arial" w:cs="Arial"/>
                <w:color w:val="000000"/>
                <w:sz w:val="18"/>
                <w:szCs w:val="18"/>
              </w:rPr>
            </w:pPr>
            <w:r w:rsidRPr="008565AB">
              <w:rPr>
                <w:rFonts w:ascii="Arial" w:hAnsi="Arial" w:cs="Arial"/>
                <w:color w:val="000000"/>
                <w:sz w:val="18"/>
                <w:szCs w:val="18"/>
              </w:rPr>
              <w:t>1.70</w:t>
            </w:r>
          </w:p>
        </w:tc>
        <w:tc>
          <w:tcPr>
            <w:tcW w:w="747" w:type="pct"/>
            <w:shd w:val="clear" w:color="auto" w:fill="auto"/>
            <w:noWrap/>
            <w:vAlign w:val="bottom"/>
            <w:hideMark/>
          </w:tcPr>
          <w:p w14:paraId="6F503B01" w14:textId="5115BFB7" w:rsidR="00BF211E" w:rsidRPr="0097360C" w:rsidRDefault="00BF211E" w:rsidP="00386B4F">
            <w:pPr>
              <w:spacing w:after="0" w:line="240" w:lineRule="auto"/>
              <w:rPr>
                <w:rFonts w:ascii="Arial" w:eastAsia="Times New Roman" w:hAnsi="Arial" w:cs="Arial"/>
                <w:color w:val="000000"/>
                <w:sz w:val="18"/>
                <w:szCs w:val="18"/>
                <w:lang w:val="fr-FR"/>
              </w:rPr>
            </w:pPr>
            <w:r w:rsidRPr="0097360C">
              <w:rPr>
                <w:rFonts w:ascii="Arial" w:eastAsia="Times New Roman" w:hAnsi="Arial" w:cs="Arial"/>
                <w:color w:val="000000"/>
                <w:sz w:val="18"/>
                <w:szCs w:val="18"/>
                <w:lang w:val="fr-FR"/>
              </w:rPr>
              <w:t xml:space="preserve">Racgap1 </w:t>
            </w:r>
            <w:r w:rsidRPr="00D50FDC">
              <w:rPr>
                <w:rFonts w:ascii="Arial" w:eastAsia="Times New Roman" w:hAnsi="Arial" w:cs="Arial"/>
                <w:color w:val="000000"/>
                <w:sz w:val="18"/>
                <w:szCs w:val="18"/>
                <w:lang w:val="fr-FR"/>
              </w:rPr>
              <w:fldChar w:fldCharType="begin"/>
            </w:r>
            <w:r w:rsidR="001C71BD">
              <w:rPr>
                <w:rFonts w:ascii="Arial" w:eastAsia="Times New Roman" w:hAnsi="Arial" w:cs="Arial"/>
                <w:color w:val="000000"/>
                <w:sz w:val="18"/>
                <w:szCs w:val="18"/>
                <w:lang w:val="fr-FR"/>
              </w:rPr>
              <w:instrText xml:space="preserve"> ADDIN ZOTERO_ITEM CSL_CITATION {"citationID":"0fmwAdU4","properties":{"formattedCitation":"(14,15)","plainCitation":"(14,15)","noteIndex":0},"citationItems":[{"id":148,"uris":["http://zotero.org/users/local/Cg9l0yK5/items/PPALH7ZC"],"itemData":{"id":148,"type":"article-journal","abstract":"OBJECTIVE: Superstimulatory treatment of one-month-old lambs can achieve synchronous development of numerous growing follicles. However, these growing follicles cannot  complete maturation and ovulation. Oocyte maturation and competence are acquired  during follicular development, in which granulosa cells play an essential role.  METHODS: In this study, we applied RNA sequencing to analyze and compare gene  expression between prepubertal and adult superstimulated follicle granulosa cells in  sheep. RESULTS: There were more than 300 genes that significantly differed in  expression. Among these differently expressed genes, many extracellular matrix genes  (EGF containing Fibulin Like Extracellular Matrix Protein 1, pentraxin 3,  adrenomedullin, and osteopontin) were significantly down-regulated in the  superstimulated follicles. Ingenuity pathway and gene ontology analyses revealed  that processes of axonal guidance, cell proliferation and DNA replication were  expressed at higher levels in the prepubertal follicles. Epidermal growth factor,  T-Box protein 2 and beta-estradiol upstream regulator were predicted to be active in  prepubertal follicles. By comparison, tumor protein P53 and let-7 were most active  in adult follicles. CONCLUSION: These results may contribute to a better  understanding of the mechanisms governing the development of granulosa cells in the  growing follicle in prepubertal sheep.","container-title":"Asian-Australasian journal of animal sciences","DOI":"10.5713/ajas.15.0999","ISSN":"1011-2367 1976-5517","issue":"1","journalAbbreviation":"Asian-Australas J Anim Sci","language":"eng","note":"PMID: 27189640 \nPMCID: PMC5205588","page":"20-33","title":"Transcriptome profile of one-month-old lambs' granulosa cells after superstimulation.","volume":"30","author":[{"family":"Wu","given":"Yangsheng"},{"family":"Lin","given":"Jiapeng"},{"family":"Li","given":"Xiaolin"},{"family":"Han","given":"Bing"},{"family":"Wang","given":"Liqin"},{"family":"Liu","given":"Mingjun"},{"family":"Huang","given":"Juncheng"}],"issued":{"date-parts":[["2017",1]]}}},{"id":287,"uris":["http://zotero.org/users/local/Cg9l0yK5/items/C5ZECZSW"],"itemData":{"id":287,"type":"article-journal","abstract":"BACKGROUND &amp; AIMS: Agents designed to block or alter cytokinesis can kill or stop proliferation of cancer cells. We aimed to identify cytokinesis-related proteins  that are overexpressed in hepatocellular carcinoma (HCC) cells and might be targeted  to slow liver tumor growth. METHODS: Using the Oncomine database, we compared the  gene expression patterns in 16 cancer microarray datasets and assessed gene  enrichment sets using gene ontology. We performed immunohistochemical analysis of an  HCC tissue microarray and identified changes in protein levels that are associated  with patient survival times. Candidate genes were overexpressed or knocked down with  small hairpin RNAs in SMMC7721, MHCC97H, or HCCLM3 cell lines; we analyzed their  proliferation, viability, and clone-formation ability and their growth as  subcutaneous or orthotopic xenograft tumors in mice. We performed microarray  analyses to identify alterations in signaling pathways and immunoblot and  immunofluorescence assays to detect and localize proteins in tissues. Yeast 2-hybrid  screens and mass spectrometry combined with co-immunoprecipitation experiments were  used to identify binding proteins. Protein interactions were validated with  co-immunoprecipitation and proximity ligation assays. Chromatin immunoprecipitation,  promoter luciferase activity, and quantitative real-time polymerase chain reaction  analyses were used to identify factors that regulate transcription of specific  genes. RESULTS: The genes that were most frequently overexpressed in different types  of cancer cells were involved in cell division processes. We identified 3  cytokinesis-regulatory proteins among the 10 genes most frequently overexpressed by  all cancer cell types. Rac GTPase activating protein 1 (RACGAP1) was the  cytokinesis-regulatory protein that was most highly overexpressed in multiple  cancers. Increased expression of RACGAP1 in tumor tissues was associated with  shorter survival times of patients with cancer. Knockdown of RACGAP1 in HCC cells  induced cytokinesis failure and cell apoptosis. In microarray analyses, we found  knockdown of RACGAP1 in SMMC7721 cells to reduce expression of genes regulated by  yes-associated protein (YAP) and WW domain containing transcription regulator 1  (WWTR1 or TAZ). RACGAP1 reduced activation of the Hippo pathway in HCC cells by  increasing activity of RhoA and polymerization of filamentous actin. Knockdown of  YAP reduced phosphorylation of RACGAP1 and redistribution at the anaphase central  spindle. We found transcription of the translocated promoter region, nuclear basket  protein (TPR) to be regulated by YAP and coordinately expressed with RACGAP1 to  promote proliferation of HCC cells. TPR redistributed upon nuclear envelope  breakdown and formed complexes with RACGAP1 during mitosis. Knockdown of TPR in HCC  cells reduced phosphorylation of RACGAP1 by aurora kinase B and impaired their  redistribution at the central spindle during cytokinesis. STAT3 activated  transcription of RACGAP in HCC cells. CONCLUSIONS: In an analysis of gene expression  patterns of multiple tumor types, we found RACGAP1 to be frequently overexpressed,  which is associated with shorter survival times of patients. RACGAP1 promotes  proliferation of HCC cells by reducing activation of the Hippo and YAP pathways and  promoting cytokinesis in coordination with TPR.","container-title":"Gastroenterology","DOI":"10.1053/j.gastro.2018.07.010","ISSN":"1528-0012 0016-5085","issue":"4","journalAbbreviation":"Gastroenterology","language":"eng","license":"Copyright © 2018 AGA Institute. Published by Elsevier Inc. All rights reserved.","note":"publisher-place: United States\nPMID: 30009820","page":"1233-1249.e22","title":"Overexpression of Rac GTPase Activating Protein 1 Contributes to Proliferation of Cancer Cells by Reducing Hippo Signaling to Promote Cytokinesis.","volume":"155","author":[{"family":"Yang","given":"Xiao-Mei"},{"family":"Cao","given":"Xiao-Yan"},{"family":"He","given":"Ping"},{"family":"Li","given":"Jun"},{"family":"Feng","given":"Ming-Xuan"},{"family":"Zhang","given":"Yan-Li"},{"family":"Zhang","given":"Xue-Li"},{"family":"Wang","given":"Ya-Hui"},{"family":"Yang","given":"Qin"},{"family":"Zhu","given":"Lei"},{"family":"Nie","given":"Hui-Zhen"},{"family":"Jiang","given":"Shu-Heng"},{"family":"Tian","given":"Guang-Ang"},{"family":"Zhang","given":"Xiao-Xin"},{"family":"Liu","given":"Qiang"},{"family":"Ji","given":"Jianguang"},{"family":"Zhu","given":"Xuefeng"},{"family":"Xia","given":"Qiang"},{"family":"Zhang","given":"Zhi-Gang"}],"issued":{"date-parts":[["2018",10]]}}}],"schema":"https://github.com/citation-style-language/schema/raw/master/csl-citation.json"} </w:instrText>
            </w:r>
            <w:r w:rsidRPr="00D50FDC">
              <w:rPr>
                <w:rFonts w:ascii="Arial" w:eastAsia="Times New Roman" w:hAnsi="Arial" w:cs="Arial"/>
                <w:color w:val="000000"/>
                <w:sz w:val="18"/>
                <w:szCs w:val="18"/>
                <w:lang w:val="fr-FR"/>
              </w:rPr>
              <w:fldChar w:fldCharType="separate"/>
            </w:r>
            <w:r w:rsidR="001C71BD" w:rsidRPr="001C71BD">
              <w:rPr>
                <w:rFonts w:ascii="Arial" w:hAnsi="Arial" w:cs="Arial"/>
                <w:sz w:val="18"/>
              </w:rPr>
              <w:t>(14,15)</w:t>
            </w:r>
            <w:r w:rsidRPr="00D50FDC">
              <w:rPr>
                <w:rFonts w:ascii="Arial" w:eastAsia="Times New Roman" w:hAnsi="Arial" w:cs="Arial"/>
                <w:color w:val="000000"/>
                <w:sz w:val="18"/>
                <w:szCs w:val="18"/>
                <w:lang w:val="fr-FR"/>
              </w:rPr>
              <w:fldChar w:fldCharType="end"/>
            </w:r>
          </w:p>
        </w:tc>
        <w:tc>
          <w:tcPr>
            <w:tcW w:w="488" w:type="pct"/>
            <w:shd w:val="clear" w:color="auto" w:fill="auto"/>
            <w:noWrap/>
            <w:vAlign w:val="bottom"/>
            <w:hideMark/>
          </w:tcPr>
          <w:p w14:paraId="73F483EB" w14:textId="77777777" w:rsidR="00BF211E" w:rsidRPr="0097360C" w:rsidRDefault="00BF211E" w:rsidP="00386B4F">
            <w:pPr>
              <w:spacing w:after="0" w:line="240" w:lineRule="auto"/>
              <w:jc w:val="right"/>
              <w:rPr>
                <w:rFonts w:ascii="Arial" w:eastAsia="Times New Roman" w:hAnsi="Arial" w:cs="Arial"/>
                <w:color w:val="000000"/>
                <w:sz w:val="18"/>
                <w:szCs w:val="18"/>
              </w:rPr>
            </w:pPr>
            <w:r w:rsidRPr="00A60B9C">
              <w:rPr>
                <w:rFonts w:ascii="Arial" w:hAnsi="Arial" w:cs="Arial"/>
                <w:color w:val="000000"/>
                <w:sz w:val="18"/>
                <w:szCs w:val="18"/>
              </w:rPr>
              <w:t>1.73</w:t>
            </w:r>
          </w:p>
        </w:tc>
        <w:tc>
          <w:tcPr>
            <w:tcW w:w="750" w:type="pct"/>
            <w:vAlign w:val="bottom"/>
          </w:tcPr>
          <w:p w14:paraId="0675BBD8" w14:textId="1078B48B" w:rsidR="00BF211E" w:rsidRPr="0097360C" w:rsidRDefault="00BF211E" w:rsidP="00386B4F">
            <w:pPr>
              <w:spacing w:after="0" w:line="240" w:lineRule="auto"/>
              <w:rPr>
                <w:rFonts w:ascii="Arial" w:eastAsia="Times New Roman" w:hAnsi="Arial" w:cs="Arial"/>
                <w:color w:val="000000"/>
                <w:sz w:val="18"/>
                <w:szCs w:val="18"/>
              </w:rPr>
            </w:pPr>
            <w:proofErr w:type="spellStart"/>
            <w:r>
              <w:rPr>
                <w:rFonts w:ascii="Calibri" w:hAnsi="Calibri" w:cs="Calibri"/>
                <w:color w:val="000000"/>
              </w:rPr>
              <w:t>Lipg</w:t>
            </w:r>
            <w:proofErr w:type="spellEnd"/>
            <w:r>
              <w:rPr>
                <w:rFonts w:ascii="Calibri" w:hAnsi="Calibri" w:cs="Calibri"/>
                <w:color w:val="000000"/>
              </w:rPr>
              <w:t xml:space="preserve"> </w:t>
            </w:r>
            <w:r w:rsidRPr="00D50FDC">
              <w:rPr>
                <w:rFonts w:ascii="Arial" w:eastAsia="Times New Roman" w:hAnsi="Arial" w:cs="Arial"/>
                <w:color w:val="000000"/>
                <w:sz w:val="18"/>
                <w:szCs w:val="18"/>
              </w:rPr>
              <w:fldChar w:fldCharType="begin"/>
            </w:r>
            <w:r w:rsidR="001C71BD">
              <w:rPr>
                <w:rFonts w:ascii="Arial" w:eastAsia="Times New Roman" w:hAnsi="Arial" w:cs="Arial"/>
                <w:color w:val="000000"/>
                <w:sz w:val="18"/>
                <w:szCs w:val="18"/>
              </w:rPr>
              <w:instrText xml:space="preserve"> ADDIN ZOTERO_ITEM CSL_CITATION {"citationID":"MC9XscPJ","properties":{"formattedCitation":"(48)","plainCitation":"(48)","noteIndex":0},"citationItems":[{"id":270,"uris":["http://zotero.org/users/local/Cg9l0yK5/items/7RT2QTLN"],"itemData":{"id":270,"type":"article-journal","abstract":"Core binding factor β (CBFβ) is a non-DNA-binding partner of all RUNX proteins and critical for transcription activity of CBF transcription factors (RUNXs/CBFβ). In  the ovary, the expression of Runx1 and Runx2 is highly induced by the luteinizing  hormone (LH) surge in ovulatory follicles, whereas Cbfb is constitutively expressed.  To investigate the physiological significance of CBFs in the ovary, the current  study generated two different conditional mutant mouse models in which granulosa  cell expression of Cbfb and Runx2 was reduced by Cre recombinase driven by an Esr2  promoter. Cbfbgc-/- and Cbfbgc-/- × Runx2gc+/- mice exhibited severe subfertility  and infertility, respectively. In the ovaries of both mutant mice, follicles develop  normally, but the majority of preovulatory follicles failed to ovulate either in  response to human chorionic gonadotropin administration in pregnant mare serum  gonadotropin-primed immature animals or after the LH surge at 5 months of age.  Morphological and physiological changes in the corpus luteum of these mutant mice  revealed the reduced size, progesterone production, and vascularization, as well as  excessive lipid accumulation. In granulosa cells of periovulatory follicles and  corpora lutea of these mice, the expression of Edn2, Ptgs1, Lhcgr, Sfrp4, Wnt4,  Ccrl2, Lipg, Saa3, and Ptgfr was also drastically reduced. In conclusion, the  current study provided in vivo evidence that CBFβ plays an essential role in female  fertility by acting as a critical cofactor of CBF transcription factor complexes,  which regulate the expression of specific key ovulatory and luteal genes, thus  coordinating the ovulatory process and luteal development/function in mice.","container-title":"Endocrinology","DOI":"10.1210/en.2018-00011","ISSN":"1945-7170 0013-7227","issue":"5","journalAbbreviation":"Endocrinology","language":"eng","note":"PMID: 29554271 \nPMCID: PMC5905395","page":"2094-2109","title":"Core Binding Factor β Expression in Ovarian Granulosa Cells Is Essential for Female Fertility.","volume":"159","author":[{"family":"Lee-Thacker","given":"Somang"},{"family":"Choi","given":"Yohan"},{"family":"Taniuchi","given":"Ichiro"},{"family":"Takarada","given":"Takeshi"},{"family":"Yoneda","given":"Yukio"},{"family":"Ko","given":"CheMyong"},{"family":"Jo","given":"Misung"}],"issued":{"date-parts":[["2018",5,1]]}}}],"schema":"https://github.com/citation-style-language/schema/raw/master/csl-citation.json"} </w:instrText>
            </w:r>
            <w:r w:rsidRPr="00D50FDC">
              <w:rPr>
                <w:rFonts w:ascii="Arial" w:eastAsia="Times New Roman" w:hAnsi="Arial" w:cs="Arial"/>
                <w:color w:val="000000"/>
                <w:sz w:val="18"/>
                <w:szCs w:val="18"/>
              </w:rPr>
              <w:fldChar w:fldCharType="separate"/>
            </w:r>
            <w:r w:rsidR="001C71BD" w:rsidRPr="001C71BD">
              <w:rPr>
                <w:rFonts w:ascii="Arial" w:hAnsi="Arial" w:cs="Arial"/>
                <w:sz w:val="18"/>
              </w:rPr>
              <w:t>(48)</w:t>
            </w:r>
            <w:r w:rsidRPr="00D50FDC">
              <w:rPr>
                <w:rFonts w:ascii="Arial" w:eastAsia="Times New Roman" w:hAnsi="Arial" w:cs="Arial"/>
                <w:color w:val="000000"/>
                <w:sz w:val="18"/>
                <w:szCs w:val="18"/>
              </w:rPr>
              <w:fldChar w:fldCharType="end"/>
            </w:r>
          </w:p>
        </w:tc>
        <w:tc>
          <w:tcPr>
            <w:tcW w:w="480" w:type="pct"/>
            <w:shd w:val="clear" w:color="auto" w:fill="auto"/>
            <w:noWrap/>
            <w:vAlign w:val="bottom"/>
            <w:hideMark/>
          </w:tcPr>
          <w:p w14:paraId="6DB40F7A" w14:textId="77777777" w:rsidR="00BF211E" w:rsidRPr="00FB108C" w:rsidRDefault="00BF211E" w:rsidP="00386B4F">
            <w:pPr>
              <w:spacing w:after="0" w:line="240" w:lineRule="auto"/>
              <w:jc w:val="right"/>
              <w:rPr>
                <w:rFonts w:ascii="Arial" w:eastAsia="Times New Roman" w:hAnsi="Arial" w:cs="Arial"/>
                <w:color w:val="000000"/>
                <w:sz w:val="18"/>
                <w:szCs w:val="18"/>
              </w:rPr>
            </w:pPr>
            <w:r w:rsidRPr="00FB108C">
              <w:rPr>
                <w:rFonts w:ascii="Arial" w:hAnsi="Arial" w:cs="Arial"/>
                <w:color w:val="000000"/>
                <w:sz w:val="18"/>
                <w:szCs w:val="18"/>
              </w:rPr>
              <w:t>2.37</w:t>
            </w:r>
          </w:p>
        </w:tc>
      </w:tr>
      <w:tr w:rsidR="001C71BD" w:rsidRPr="0097360C" w14:paraId="7AF6EE49" w14:textId="77777777" w:rsidTr="00386B4F">
        <w:trPr>
          <w:trHeight w:val="290"/>
        </w:trPr>
        <w:tc>
          <w:tcPr>
            <w:tcW w:w="761" w:type="pct"/>
            <w:vAlign w:val="bottom"/>
          </w:tcPr>
          <w:p w14:paraId="5CC633AB" w14:textId="0297C241" w:rsidR="00BF211E" w:rsidRPr="0097360C" w:rsidRDefault="00BF211E" w:rsidP="00386B4F">
            <w:pPr>
              <w:spacing w:after="0" w:line="240" w:lineRule="auto"/>
              <w:rPr>
                <w:rFonts w:ascii="Arial" w:eastAsia="Times New Roman" w:hAnsi="Arial" w:cs="Arial"/>
                <w:color w:val="000000"/>
                <w:sz w:val="18"/>
                <w:szCs w:val="18"/>
                <w:lang w:val="fr-FR"/>
              </w:rPr>
            </w:pPr>
            <w:r>
              <w:rPr>
                <w:rFonts w:ascii="Calibri" w:hAnsi="Calibri" w:cs="Calibri"/>
                <w:color w:val="000000"/>
              </w:rPr>
              <w:t xml:space="preserve">Parm1 </w:t>
            </w:r>
            <w:r w:rsidRPr="00D50FDC">
              <w:rPr>
                <w:rFonts w:ascii="Arial" w:eastAsia="Times New Roman" w:hAnsi="Arial" w:cs="Arial"/>
                <w:color w:val="000000"/>
                <w:sz w:val="18"/>
                <w:szCs w:val="18"/>
              </w:rPr>
              <w:fldChar w:fldCharType="begin"/>
            </w:r>
            <w:r w:rsidR="001C71BD">
              <w:rPr>
                <w:rFonts w:ascii="Arial" w:eastAsia="Times New Roman" w:hAnsi="Arial" w:cs="Arial"/>
                <w:color w:val="000000"/>
                <w:sz w:val="18"/>
                <w:szCs w:val="18"/>
                <w:lang w:val="fr-FR"/>
              </w:rPr>
              <w:instrText xml:space="preserve"> ADDIN ZOTERO_ITEM CSL_CITATION {"citationID":"Kupf3ElV","properties":{"formattedCitation":"(49)","plainCitation":"(49)","noteIndex":0},"citationItems":[{"id":242,"uris":["http://zotero.org/users/local/Cg9l0yK5/items/R5XYPH4V"],"itemData":{"id":242,"type":"article-journal","abstract":"The LH surge reprograms preovulatory follicular cells to become terminally differentiated luteal cells which produce high levels of progesterone and become  resistant to apoptosis. PARM1 (prostate androgen regulated mucin-like protein 1) has  been implicated in cell differentiation and cell survival in nonovarian cells, but  little is known about PARM1 in the ovary. This study demonstrated that the LH surge  induced a dramatic increase in Parm1 expression in periovulatory follicles and newly  forming CL in both cycling and immature rat models. We further demonstrated that hCG  increases Parm1 expression in granulosa cell cultures. The in vitro up-regulation of  Parm1 expression was mediated by hCG-activated multiple signaling pathways and  transcriptional activation of this gene. Parm1 knockdown increased the viability of  cultured granulosa cells but resulted in a decrease in progesterone levels. The  inhibitory effect of Parm1 silencing on progesterone was reversed by adenoviral  mediated add-back expression of Parm1. Parm1 silencing had little effect on the  expression of genes involved in progesterone biosynthesis and metabolism such as  Scarb1, Ldlr, Vldlr, Scp2, Star, Cyp11a1, Hsd3b, and Srd5a1, while decreasing the  expression of Akr1c3. Analyses of culture media steroid levels revealed that Parm1  knockdown had no effect on pregnenolone levels, while resulting in time-dependent  decreases in progesterone and 20α-dihydroprogesterone and accelerated accumulation  of 5α-pregnanediol. This study revealed that the up-regulation of Parm1 expression  promotes progesterone and 20α-dihydroprogesterone accumulation in luteinizing  granulosa cells by inhibiting progesterone catabolism to 5α-pregnanediol. PARM1  contributes to ovulation and/or luteal function by acting as a novel regulator of  progesterone metabolism.","container-title":"Molecular endocrinology (Baltimore, Md.)","DOI":"10.1210/me.2013-1097","ISSN":"1944-9917 0888-8809","issue":"11","journalAbbreviation":"Mol Endocrinol","language":"eng","note":"PMID: 24085821 \nPMCID: PMC3805850","page":"1871-1886","title":"Prostate androgen-regulated mucin-like protein 1: a novel regulator of progesterone metabolism.","volume":"27","author":[{"family":"Park","given":"Ji Yeon"},{"family":"Jang","given":"Hyein"},{"family":"Curry","given":"Thomas E."},{"family":"Sakamoto","given":"Aiko"},{"family":"Jo","given":"Misung"}],"issued":{"date-parts":[["2013",11]]}}}],"schema":"https://github.com/citation-style-language/schema/raw/master/csl-citation.json"} </w:instrText>
            </w:r>
            <w:r w:rsidRPr="00D50FDC">
              <w:rPr>
                <w:rFonts w:ascii="Arial" w:eastAsia="Times New Roman" w:hAnsi="Arial" w:cs="Arial"/>
                <w:color w:val="000000"/>
                <w:sz w:val="18"/>
                <w:szCs w:val="18"/>
              </w:rPr>
              <w:fldChar w:fldCharType="separate"/>
            </w:r>
            <w:r w:rsidR="001C71BD" w:rsidRPr="001C71BD">
              <w:rPr>
                <w:rFonts w:ascii="Arial" w:hAnsi="Arial" w:cs="Arial"/>
                <w:sz w:val="18"/>
              </w:rPr>
              <w:t>(49)</w:t>
            </w:r>
            <w:r w:rsidRPr="00D50FDC">
              <w:rPr>
                <w:rFonts w:ascii="Arial" w:eastAsia="Times New Roman" w:hAnsi="Arial" w:cs="Arial"/>
                <w:color w:val="000000"/>
                <w:sz w:val="18"/>
                <w:szCs w:val="18"/>
              </w:rPr>
              <w:fldChar w:fldCharType="end"/>
            </w:r>
          </w:p>
        </w:tc>
        <w:tc>
          <w:tcPr>
            <w:tcW w:w="521" w:type="pct"/>
            <w:shd w:val="clear" w:color="auto" w:fill="auto"/>
            <w:noWrap/>
            <w:vAlign w:val="bottom"/>
            <w:hideMark/>
          </w:tcPr>
          <w:p w14:paraId="3AB917AA" w14:textId="77777777" w:rsidR="00BF211E" w:rsidRPr="00FB108C" w:rsidRDefault="00BF211E" w:rsidP="00386B4F">
            <w:pPr>
              <w:spacing w:after="0" w:line="240" w:lineRule="auto"/>
              <w:jc w:val="right"/>
              <w:rPr>
                <w:rFonts w:ascii="Arial" w:eastAsia="Times New Roman" w:hAnsi="Arial" w:cs="Arial"/>
                <w:color w:val="000000"/>
                <w:sz w:val="18"/>
                <w:szCs w:val="18"/>
                <w:lang w:val="fr-FR"/>
              </w:rPr>
            </w:pPr>
            <w:r w:rsidRPr="00FB108C">
              <w:rPr>
                <w:rFonts w:ascii="Arial" w:hAnsi="Arial" w:cs="Arial"/>
                <w:color w:val="000000"/>
                <w:sz w:val="18"/>
                <w:szCs w:val="18"/>
              </w:rPr>
              <w:t>2.26</w:t>
            </w:r>
          </w:p>
        </w:tc>
        <w:tc>
          <w:tcPr>
            <w:tcW w:w="653" w:type="pct"/>
            <w:vAlign w:val="bottom"/>
          </w:tcPr>
          <w:p w14:paraId="69CDA7DA" w14:textId="77777777" w:rsidR="00BF211E" w:rsidRPr="008565AB" w:rsidRDefault="00BF211E" w:rsidP="00386B4F">
            <w:pPr>
              <w:spacing w:after="0" w:line="240" w:lineRule="auto"/>
              <w:rPr>
                <w:rFonts w:ascii="Arial" w:eastAsia="Times New Roman" w:hAnsi="Arial" w:cs="Arial"/>
                <w:color w:val="000000"/>
                <w:sz w:val="18"/>
                <w:szCs w:val="18"/>
                <w:lang w:val="fr-FR"/>
              </w:rPr>
            </w:pPr>
            <w:r w:rsidRPr="008565AB">
              <w:rPr>
                <w:rFonts w:ascii="Arial" w:hAnsi="Arial" w:cs="Arial"/>
                <w:color w:val="000000"/>
                <w:sz w:val="18"/>
                <w:szCs w:val="18"/>
              </w:rPr>
              <w:t>Plin4</w:t>
            </w:r>
          </w:p>
        </w:tc>
        <w:tc>
          <w:tcPr>
            <w:tcW w:w="599" w:type="pct"/>
            <w:shd w:val="clear" w:color="auto" w:fill="auto"/>
            <w:noWrap/>
            <w:vAlign w:val="bottom"/>
            <w:hideMark/>
          </w:tcPr>
          <w:p w14:paraId="11AD40E5" w14:textId="77777777" w:rsidR="00BF211E" w:rsidRPr="008565AB" w:rsidRDefault="00BF211E" w:rsidP="00386B4F">
            <w:pPr>
              <w:spacing w:after="0" w:line="240" w:lineRule="auto"/>
              <w:jc w:val="right"/>
              <w:rPr>
                <w:rFonts w:ascii="Arial" w:eastAsia="Times New Roman" w:hAnsi="Arial" w:cs="Arial"/>
                <w:color w:val="000000"/>
                <w:sz w:val="18"/>
                <w:szCs w:val="18"/>
                <w:lang w:val="fr-FR"/>
              </w:rPr>
            </w:pPr>
            <w:r w:rsidRPr="008565AB">
              <w:rPr>
                <w:rFonts w:ascii="Arial" w:hAnsi="Arial" w:cs="Arial"/>
                <w:color w:val="000000"/>
                <w:sz w:val="18"/>
                <w:szCs w:val="18"/>
              </w:rPr>
              <w:t>1.71</w:t>
            </w:r>
          </w:p>
        </w:tc>
        <w:tc>
          <w:tcPr>
            <w:tcW w:w="747" w:type="pct"/>
            <w:shd w:val="clear" w:color="auto" w:fill="auto"/>
            <w:noWrap/>
            <w:vAlign w:val="bottom"/>
            <w:hideMark/>
          </w:tcPr>
          <w:p w14:paraId="3E9F5DD8" w14:textId="77777777" w:rsidR="00BF211E" w:rsidRPr="0097360C" w:rsidRDefault="00BF211E" w:rsidP="00386B4F">
            <w:pPr>
              <w:spacing w:after="0" w:line="240" w:lineRule="auto"/>
              <w:rPr>
                <w:rFonts w:ascii="Arial" w:eastAsia="Times New Roman" w:hAnsi="Arial" w:cs="Arial"/>
                <w:color w:val="000000"/>
                <w:sz w:val="18"/>
                <w:szCs w:val="18"/>
                <w:lang w:val="fr-FR"/>
              </w:rPr>
            </w:pPr>
            <w:r w:rsidRPr="0097360C">
              <w:rPr>
                <w:rFonts w:ascii="Arial" w:eastAsia="Times New Roman" w:hAnsi="Arial" w:cs="Arial"/>
                <w:color w:val="000000"/>
                <w:sz w:val="18"/>
                <w:szCs w:val="18"/>
                <w:lang w:val="fr-FR"/>
              </w:rPr>
              <w:t xml:space="preserve">Birc5 </w:t>
            </w:r>
          </w:p>
        </w:tc>
        <w:tc>
          <w:tcPr>
            <w:tcW w:w="488" w:type="pct"/>
            <w:shd w:val="clear" w:color="auto" w:fill="auto"/>
            <w:noWrap/>
            <w:vAlign w:val="bottom"/>
            <w:hideMark/>
          </w:tcPr>
          <w:p w14:paraId="02DFFA58" w14:textId="77777777" w:rsidR="00BF211E" w:rsidRPr="0097360C" w:rsidRDefault="00BF211E" w:rsidP="00386B4F">
            <w:pPr>
              <w:spacing w:after="0" w:line="240" w:lineRule="auto"/>
              <w:jc w:val="right"/>
              <w:rPr>
                <w:rFonts w:ascii="Arial" w:eastAsia="Times New Roman" w:hAnsi="Arial" w:cs="Arial"/>
                <w:color w:val="000000"/>
                <w:sz w:val="18"/>
                <w:szCs w:val="18"/>
                <w:lang w:val="fr-FR"/>
              </w:rPr>
            </w:pPr>
            <w:r w:rsidRPr="00A60B9C">
              <w:rPr>
                <w:rFonts w:ascii="Arial" w:hAnsi="Arial" w:cs="Arial"/>
                <w:color w:val="000000"/>
                <w:sz w:val="18"/>
                <w:szCs w:val="18"/>
              </w:rPr>
              <w:t>1.72</w:t>
            </w:r>
          </w:p>
        </w:tc>
        <w:tc>
          <w:tcPr>
            <w:tcW w:w="750" w:type="pct"/>
            <w:vAlign w:val="bottom"/>
          </w:tcPr>
          <w:p w14:paraId="6593B165" w14:textId="77777777" w:rsidR="00BF211E" w:rsidRPr="0097360C" w:rsidRDefault="00BF211E" w:rsidP="00386B4F">
            <w:pPr>
              <w:spacing w:after="0" w:line="240" w:lineRule="auto"/>
              <w:rPr>
                <w:rFonts w:ascii="Arial" w:eastAsia="Times New Roman" w:hAnsi="Arial" w:cs="Arial"/>
                <w:color w:val="000000"/>
                <w:sz w:val="18"/>
                <w:szCs w:val="18"/>
                <w:lang w:val="fr-FR"/>
              </w:rPr>
            </w:pPr>
            <w:r>
              <w:rPr>
                <w:rFonts w:ascii="Calibri" w:hAnsi="Calibri" w:cs="Calibri"/>
                <w:color w:val="000000"/>
              </w:rPr>
              <w:t>Sfrp4</w:t>
            </w:r>
          </w:p>
        </w:tc>
        <w:tc>
          <w:tcPr>
            <w:tcW w:w="480" w:type="pct"/>
            <w:shd w:val="clear" w:color="auto" w:fill="auto"/>
            <w:noWrap/>
            <w:vAlign w:val="bottom"/>
            <w:hideMark/>
          </w:tcPr>
          <w:p w14:paraId="6E096F12" w14:textId="77777777" w:rsidR="00BF211E" w:rsidRPr="00FB108C" w:rsidRDefault="00BF211E" w:rsidP="00386B4F">
            <w:pPr>
              <w:spacing w:after="0" w:line="240" w:lineRule="auto"/>
              <w:jc w:val="right"/>
              <w:rPr>
                <w:rFonts w:ascii="Arial" w:eastAsia="Times New Roman" w:hAnsi="Arial" w:cs="Arial"/>
                <w:color w:val="000000"/>
                <w:sz w:val="18"/>
                <w:szCs w:val="18"/>
                <w:lang w:val="fr-FR"/>
              </w:rPr>
            </w:pPr>
            <w:r w:rsidRPr="00FB108C">
              <w:rPr>
                <w:rFonts w:ascii="Arial" w:hAnsi="Arial" w:cs="Arial"/>
                <w:color w:val="000000"/>
                <w:sz w:val="18"/>
                <w:szCs w:val="18"/>
              </w:rPr>
              <w:t>2.28</w:t>
            </w:r>
          </w:p>
        </w:tc>
      </w:tr>
      <w:tr w:rsidR="001C71BD" w:rsidRPr="0097360C" w14:paraId="27566D4D" w14:textId="77777777" w:rsidTr="00386B4F">
        <w:trPr>
          <w:trHeight w:val="290"/>
        </w:trPr>
        <w:tc>
          <w:tcPr>
            <w:tcW w:w="761" w:type="pct"/>
            <w:vAlign w:val="bottom"/>
          </w:tcPr>
          <w:p w14:paraId="6E206452" w14:textId="74AA01F0" w:rsidR="00BF211E" w:rsidRPr="0097360C" w:rsidRDefault="00BF211E" w:rsidP="00386B4F">
            <w:pPr>
              <w:spacing w:after="0" w:line="240" w:lineRule="auto"/>
              <w:rPr>
                <w:rFonts w:ascii="Arial" w:eastAsia="Times New Roman" w:hAnsi="Arial" w:cs="Arial"/>
                <w:color w:val="000000"/>
                <w:sz w:val="18"/>
                <w:szCs w:val="18"/>
                <w:lang w:val="fr-FR"/>
              </w:rPr>
            </w:pPr>
            <w:r>
              <w:rPr>
                <w:rFonts w:ascii="Calibri" w:hAnsi="Calibri" w:cs="Calibri"/>
                <w:color w:val="000000"/>
              </w:rPr>
              <w:t xml:space="preserve">Loxl2 </w:t>
            </w:r>
            <w:r w:rsidRPr="00D50FDC">
              <w:rPr>
                <w:rFonts w:ascii="Arial" w:eastAsia="Times New Roman" w:hAnsi="Arial" w:cs="Arial"/>
                <w:color w:val="000000"/>
                <w:sz w:val="18"/>
                <w:szCs w:val="18"/>
              </w:rPr>
              <w:fldChar w:fldCharType="begin"/>
            </w:r>
            <w:r w:rsidR="001C71BD">
              <w:rPr>
                <w:rFonts w:ascii="Arial" w:eastAsia="Times New Roman" w:hAnsi="Arial" w:cs="Arial"/>
                <w:color w:val="000000"/>
                <w:sz w:val="18"/>
                <w:szCs w:val="18"/>
              </w:rPr>
              <w:instrText xml:space="preserve"> ADDIN ZOTERO_ITEM CSL_CITATION {"citationID":"EKfJkxYt","properties":{"formattedCitation":"(50)","plainCitation":"(50)","noteIndex":0},"citationItems":[{"id":240,"uris":["http://zotero.org/users/local/Cg9l0yK5/items/QAR4KMJL"],"itemData":{"id":240,"type":"article-journal","abstract":"BACKGROUND: In previous studies it has been shown that bovine granulosa cells (GC) cultured at a high plating density dramatically change their physiological and  molecular characteristics, thus resembling an early stage of luteinization. During  the present study, these specific effects on the GC transcriptome were  comprehensively analysed to clarify the underlying mechanisms. METHODS: GC were  cultured in serum free medium with FSH and IGF-1 stimulation at different initial  plating density. The estradiol and progesterone production was determined by  radioimmunoassays and the gene expression profiles were analysed by mRNA microarray  analysis after 9 days. The data were statistically analysed and the abundance of  selected, differentially expressed transcripts was re-evaluated by qPCR.  Bioinformatic pathway analysis of density affected transcripts was done using  Ingenuity Pathway Analysis. RESULTS: The data showed that at high plating density  the expression of 1510 annotated genes, represented by 1575 transcript clusters,  showed highly altered expression levels. Nearly two-thirds were up- and one third  down-regulated. Within the top up-regulated genes VNN2, RGS2 and PTX3 could be  identified, as well as HBA or LOXL2. Down-regulated genes included important key  genes of folliculogenesis like CYP19A1 and FSHR. Ingenuity pathway analysis  identified \"AMPK signaling\" as well as \"cAMP-mediated signaling\" as major pathways  affected by the alteration of the expression profile. Main putative upstream  regulators were TGFB1 and VEGF, thus indicating a connection with cell  differentiation and angiogenesis. A detailed cluster analysis revealed one single  cluster that was highly associated with the upstream regulator beta-estradiol.  Within this cluster key genes of steroid biosynthesis were not included, but  instead, other genes importantly involved in follicular development, like OXT and  VEGFA as well as the three most down-regulated genes TXNIP, PAG11 and ARRDC4 were  identified. CONCLUSIONS: From these data we hypothesize that high density conditions  induce a stage of differentiation in cultured GC that is similar to early post-LH  conditions in vivo. Furthermore we hypothesize that specific cell-cell-interactions  led to this differentiation including transformations necessary to promote  angiogenesis.","container-title":"Reproductive biology and endocrinology : RB&amp;E","DOI":"10.1186/s12958-016-0221-6","ISSN":"1477-7827","issue":"1","journalAbbreviation":"Reprod Biol Endocrinol","language":"eng","note":"PMID: 28056989 \nPMCID: PMC5217602","page":"3","title":"Induction of altered gene expression profiles in cultured bovine granulosa cells at high cell density.","volume":"15","author":[{"family":"Baufeld","given":"Anja"},{"family":"Koczan","given":"Dirk"},{"family":"Vanselow","given":"Jens"}],"issued":{"date-parts":[["2017",1,5]]}}}],"schema":"https://github.com/citation-style-language/schema/raw/master/csl-citation.json"} </w:instrText>
            </w:r>
            <w:r w:rsidRPr="00D50FDC">
              <w:rPr>
                <w:rFonts w:ascii="Arial" w:eastAsia="Times New Roman" w:hAnsi="Arial" w:cs="Arial"/>
                <w:color w:val="000000"/>
                <w:sz w:val="18"/>
                <w:szCs w:val="18"/>
              </w:rPr>
              <w:fldChar w:fldCharType="separate"/>
            </w:r>
            <w:r w:rsidR="001C71BD" w:rsidRPr="001C71BD">
              <w:rPr>
                <w:rFonts w:ascii="Arial" w:hAnsi="Arial" w:cs="Arial"/>
                <w:sz w:val="18"/>
              </w:rPr>
              <w:t>(50)</w:t>
            </w:r>
            <w:r w:rsidRPr="00D50FDC">
              <w:rPr>
                <w:rFonts w:ascii="Arial" w:eastAsia="Times New Roman" w:hAnsi="Arial" w:cs="Arial"/>
                <w:color w:val="000000"/>
                <w:sz w:val="18"/>
                <w:szCs w:val="18"/>
              </w:rPr>
              <w:fldChar w:fldCharType="end"/>
            </w:r>
          </w:p>
        </w:tc>
        <w:tc>
          <w:tcPr>
            <w:tcW w:w="521" w:type="pct"/>
            <w:shd w:val="clear" w:color="auto" w:fill="auto"/>
            <w:noWrap/>
            <w:vAlign w:val="bottom"/>
            <w:hideMark/>
          </w:tcPr>
          <w:p w14:paraId="6BB59D17" w14:textId="77777777" w:rsidR="00BF211E" w:rsidRPr="00FB108C" w:rsidRDefault="00BF211E" w:rsidP="00386B4F">
            <w:pPr>
              <w:spacing w:after="0" w:line="240" w:lineRule="auto"/>
              <w:jc w:val="right"/>
              <w:rPr>
                <w:rFonts w:ascii="Arial" w:eastAsia="Times New Roman" w:hAnsi="Arial" w:cs="Arial"/>
                <w:color w:val="000000"/>
                <w:sz w:val="18"/>
                <w:szCs w:val="18"/>
              </w:rPr>
            </w:pPr>
            <w:r w:rsidRPr="00FB108C">
              <w:rPr>
                <w:rFonts w:ascii="Arial" w:hAnsi="Arial" w:cs="Arial"/>
                <w:color w:val="000000"/>
                <w:sz w:val="18"/>
                <w:szCs w:val="18"/>
              </w:rPr>
              <w:t>2.25</w:t>
            </w:r>
          </w:p>
        </w:tc>
        <w:tc>
          <w:tcPr>
            <w:tcW w:w="653" w:type="pct"/>
            <w:vAlign w:val="bottom"/>
          </w:tcPr>
          <w:p w14:paraId="31586C93" w14:textId="77777777" w:rsidR="00BF211E" w:rsidRPr="008565AB" w:rsidRDefault="00BF211E" w:rsidP="00386B4F">
            <w:pPr>
              <w:spacing w:after="0" w:line="240" w:lineRule="auto"/>
              <w:rPr>
                <w:rFonts w:ascii="Arial" w:eastAsia="Times New Roman" w:hAnsi="Arial" w:cs="Arial"/>
                <w:color w:val="000000"/>
                <w:sz w:val="18"/>
                <w:szCs w:val="18"/>
              </w:rPr>
            </w:pPr>
            <w:r w:rsidRPr="008565AB">
              <w:rPr>
                <w:rFonts w:ascii="Arial" w:hAnsi="Arial" w:cs="Arial"/>
                <w:color w:val="000000"/>
                <w:sz w:val="18"/>
                <w:szCs w:val="18"/>
              </w:rPr>
              <w:t>Onecut2</w:t>
            </w:r>
          </w:p>
        </w:tc>
        <w:tc>
          <w:tcPr>
            <w:tcW w:w="599" w:type="pct"/>
            <w:shd w:val="clear" w:color="auto" w:fill="auto"/>
            <w:noWrap/>
            <w:vAlign w:val="bottom"/>
            <w:hideMark/>
          </w:tcPr>
          <w:p w14:paraId="284A0890" w14:textId="77777777" w:rsidR="00BF211E" w:rsidRPr="008565AB" w:rsidRDefault="00BF211E" w:rsidP="00386B4F">
            <w:pPr>
              <w:spacing w:after="0" w:line="240" w:lineRule="auto"/>
              <w:jc w:val="right"/>
              <w:rPr>
                <w:rFonts w:ascii="Arial" w:eastAsia="Times New Roman" w:hAnsi="Arial" w:cs="Arial"/>
                <w:color w:val="000000"/>
                <w:sz w:val="18"/>
                <w:szCs w:val="18"/>
              </w:rPr>
            </w:pPr>
            <w:r w:rsidRPr="008565AB">
              <w:rPr>
                <w:rFonts w:ascii="Arial" w:hAnsi="Arial" w:cs="Arial"/>
                <w:color w:val="000000"/>
                <w:sz w:val="18"/>
                <w:szCs w:val="18"/>
              </w:rPr>
              <w:t>1.71</w:t>
            </w:r>
          </w:p>
        </w:tc>
        <w:tc>
          <w:tcPr>
            <w:tcW w:w="747" w:type="pct"/>
            <w:shd w:val="clear" w:color="auto" w:fill="auto"/>
            <w:noWrap/>
            <w:vAlign w:val="bottom"/>
            <w:hideMark/>
          </w:tcPr>
          <w:p w14:paraId="3B3748E4" w14:textId="74A3AE27" w:rsidR="00BF211E" w:rsidRPr="0097360C" w:rsidRDefault="00BF211E" w:rsidP="00386B4F">
            <w:pPr>
              <w:spacing w:after="0" w:line="240" w:lineRule="auto"/>
              <w:rPr>
                <w:rFonts w:ascii="Arial" w:eastAsia="Times New Roman" w:hAnsi="Arial" w:cs="Arial"/>
                <w:color w:val="000000"/>
                <w:sz w:val="18"/>
                <w:szCs w:val="18"/>
              </w:rPr>
            </w:pPr>
            <w:proofErr w:type="spellStart"/>
            <w:r w:rsidRPr="0097360C">
              <w:rPr>
                <w:rFonts w:ascii="Arial" w:eastAsia="Times New Roman" w:hAnsi="Arial" w:cs="Arial"/>
                <w:color w:val="000000"/>
                <w:sz w:val="18"/>
                <w:szCs w:val="18"/>
              </w:rPr>
              <w:t>Inhbb</w:t>
            </w:r>
            <w:proofErr w:type="spellEnd"/>
            <w:r w:rsidRPr="00D50FDC">
              <w:rPr>
                <w:rFonts w:ascii="Arial" w:eastAsia="Times New Roman" w:hAnsi="Arial" w:cs="Arial"/>
                <w:color w:val="000000"/>
                <w:sz w:val="18"/>
                <w:szCs w:val="18"/>
              </w:rPr>
              <w:t xml:space="preserve"> </w:t>
            </w:r>
            <w:r w:rsidRPr="00D50FDC">
              <w:rPr>
                <w:rFonts w:ascii="Arial" w:eastAsia="Times New Roman" w:hAnsi="Arial" w:cs="Arial"/>
                <w:color w:val="000000"/>
                <w:sz w:val="18"/>
                <w:szCs w:val="18"/>
              </w:rPr>
              <w:fldChar w:fldCharType="begin"/>
            </w:r>
            <w:r w:rsidR="001C71BD">
              <w:rPr>
                <w:rFonts w:ascii="Arial" w:eastAsia="Times New Roman" w:hAnsi="Arial" w:cs="Arial"/>
                <w:color w:val="000000"/>
                <w:sz w:val="18"/>
                <w:szCs w:val="18"/>
              </w:rPr>
              <w:instrText xml:space="preserve"> ADDIN ZOTERO_ITEM CSL_CITATION {"citationID":"A7Wb96Ed","properties":{"formattedCitation":"(1,3)","plainCitation":"(1,3)","noteIndex":0},"citationItems":[{"id":107,"uris":["http://zotero.org/users/local/Cg9l0yK5/items/QJGIPNB5"],"itemData":{"id":107,"type":"article-journal","abstract":"The ovary is perhaps the most dynamic organ in the human body, only rivaled by the uterus. The molecular mechanisms that regulate follicular growth and regression,  ensuring ovarian tissue homeostasis, remain elusive. We have performed single-cell  RNA-sequencing using human adult ovaries to provide a map of the molecular signature  of growing and regressing follicular populations. We have identified different types  of granulosa and theca cells and detected local production of components of the  complement system by (atretic) theca cells and stromal cells. We also have detected  a mixture of adaptive and innate immune cells, as well as several types of  endothelial and smooth muscle cells to aid the remodeling process. Our results  highlight the relevance of mapping whole adult organs at the single-cell level and  reflect ongoing efforts to map the human body. The association between complement  system and follicular remodeling may provide key insights in reproductive biology  and (in)fertility.","container-title":"Nature communications","DOI":"10.1038/s41467-019-11036-9","ISSN":"2041-1723","issue":"1","journalAbbreviation":"Nat Commun","language":"eng","note":"PMID: 31320652 \nPMCID: PMC6639403","page":"3164","title":"Single-cell reconstruction of follicular remodeling in the human adult ovary.","volume":"10","author":[{"family":"Fan","given":"X."},{"family":"Bialecka","given":"M."},{"family":"Moustakas","given":"I."},{"family":"Lam","given":"E."},{"family":"Torrens-Juaneda","given":"V."},{"family":"Borggreven","given":"N. V."},{"family":"Trouw","given":"L."},{"family":"Louwe","given":"L. A."},{"family":"Pilgram","given":"G. S. K."},{"family":"Mei","given":"H."},{"family":"Westerlaken","given":"L.","non-dropping-particle":"van der"},{"family":"Chuva de Sousa Lopes","given":"S. M."}],"issued":{"date-parts":[["2019",7,18]]}}},{"id":54,"uris":["http://zotero.org/users/local/Cg9l0yK5/items/YKGGLU2B"],"itemData":{"id":54,"type":"article-journal","abstract":"Cumulus cells and mural granulosa cells (MGCs) have functionally distinct roles in antral follicles, and comparison of their transcriptomes at a global and systems  level can propel future studies on mechanisms underlying their functional diversity.  These cells were isolated from small and large antral follicles before and after  stimulation of immature mice with gonadotropins, respectively. Both cell types  underwent dramatic transcriptomic changes, and differences between them increased  with follicular growth. Although cumulus cells of both stages of follicular  development are competent to undergo expansion in vitro, they were otherwise  remarkably dissimilar with transcriptomic changes quantitatively equivalent to those  of MGCs. Gene ontology analysis revealed that cumulus cells of small follicles were  enriched in transcripts generally associated with catalytic components of metabolic  processes, while those from large follicles were involved in regulation of  metabolism, cell differentiation, and adhesion. Contrast of cumulus cells versus  MGCs revealed that cumulus cells were enriched in transcripts associated with  metabolism and cell proliferation while MGCs were enriched for transcripts involved  in cell signaling and differentiation. In vitro and in vivo models were used to test  the hypothesis that higher levels of transcripts in cumulus cells versus MGCs is the  result of stimulation by oocyte-derived paracrine factors (ODPFs). Surprisingly </w:instrText>
            </w:r>
            <w:r w:rsidR="001C71BD">
              <w:rPr>
                <w:rFonts w:ascii="Cambria Math" w:eastAsia="Times New Roman" w:hAnsi="Cambria Math" w:cs="Cambria Math"/>
                <w:color w:val="000000"/>
                <w:sz w:val="18"/>
                <w:szCs w:val="18"/>
              </w:rPr>
              <w:instrText>∼</w:instrText>
            </w:r>
            <w:r w:rsidR="001C71BD">
              <w:rPr>
                <w:rFonts w:ascii="Arial" w:eastAsia="Times New Roman" w:hAnsi="Arial" w:cs="Arial"/>
                <w:color w:val="000000"/>
                <w:sz w:val="18"/>
                <w:szCs w:val="18"/>
              </w:rPr>
              <w:instrText xml:space="preserve">48%  of transcripts higher in cumulus cells than MGCs were not stimulated by ODPFs. Those  stimulated by ODPFs were mainly associated with cell division, mRNA processing, or  the catalytic pathways of metabolism, while those not stimulated by ODPFs were  associated with regulatory processes such as signaling, transcription,  phosphorylation, or the regulation of metabolism.","container-title":"Biology of reproduction","DOI":"10.1095/biolreprod.114.121756","ISSN":"1529-7268 0006-3363","issue":"1","journalAbbreviation":"Biol Reprod","language":"eng","license":"© 2015 by the Society for the Study of Reproduction, Inc.","note":"PMID: 25376232 \nPMCID: PMC4434932","page":"23","title":"Transcriptomic diversification of developing cumulus and mural granulosa cells in mouse ovarian follicles.","volume":"92","author":[{"family":"Wigglesworth","given":"Karen"},{"family":"Lee","given":"Kyung-Bon"},{"family":"Emori","given":"Chihiro"},{"family":"Sugiura","given":"Koji"},{"family":"Eppig","given":"John J."}],"issued":{"date-parts":[["2015",1]]}}}],"schema":"https://github.com/citation-style-language/schema/raw/master/csl-citation.json"} </w:instrText>
            </w:r>
            <w:r w:rsidRPr="00D50FDC">
              <w:rPr>
                <w:rFonts w:ascii="Arial" w:eastAsia="Times New Roman" w:hAnsi="Arial" w:cs="Arial"/>
                <w:color w:val="000000"/>
                <w:sz w:val="18"/>
                <w:szCs w:val="18"/>
              </w:rPr>
              <w:fldChar w:fldCharType="separate"/>
            </w:r>
            <w:r w:rsidR="001C71BD" w:rsidRPr="001C71BD">
              <w:rPr>
                <w:rFonts w:ascii="Arial" w:hAnsi="Arial" w:cs="Arial"/>
                <w:sz w:val="18"/>
              </w:rPr>
              <w:t>(1,3)</w:t>
            </w:r>
            <w:r w:rsidRPr="00D50FDC">
              <w:rPr>
                <w:rFonts w:ascii="Arial" w:eastAsia="Times New Roman" w:hAnsi="Arial" w:cs="Arial"/>
                <w:color w:val="000000"/>
                <w:sz w:val="18"/>
                <w:szCs w:val="18"/>
              </w:rPr>
              <w:fldChar w:fldCharType="end"/>
            </w:r>
          </w:p>
        </w:tc>
        <w:tc>
          <w:tcPr>
            <w:tcW w:w="488" w:type="pct"/>
            <w:shd w:val="clear" w:color="auto" w:fill="auto"/>
            <w:noWrap/>
            <w:vAlign w:val="bottom"/>
            <w:hideMark/>
          </w:tcPr>
          <w:p w14:paraId="52F41EBB" w14:textId="77777777" w:rsidR="00BF211E" w:rsidRPr="0097360C" w:rsidRDefault="00BF211E" w:rsidP="00386B4F">
            <w:pPr>
              <w:spacing w:after="0" w:line="240" w:lineRule="auto"/>
              <w:jc w:val="right"/>
              <w:rPr>
                <w:rFonts w:ascii="Arial" w:eastAsia="Times New Roman" w:hAnsi="Arial" w:cs="Arial"/>
                <w:color w:val="000000"/>
                <w:sz w:val="18"/>
                <w:szCs w:val="18"/>
              </w:rPr>
            </w:pPr>
            <w:r w:rsidRPr="00A60B9C">
              <w:rPr>
                <w:rFonts w:ascii="Arial" w:hAnsi="Arial" w:cs="Arial"/>
                <w:color w:val="000000"/>
                <w:sz w:val="18"/>
                <w:szCs w:val="18"/>
              </w:rPr>
              <w:t>1.62</w:t>
            </w:r>
          </w:p>
        </w:tc>
        <w:tc>
          <w:tcPr>
            <w:tcW w:w="750" w:type="pct"/>
            <w:vAlign w:val="bottom"/>
          </w:tcPr>
          <w:p w14:paraId="7A4BC5D8" w14:textId="77777777" w:rsidR="00BF211E" w:rsidRPr="0097360C" w:rsidRDefault="00BF211E" w:rsidP="00386B4F">
            <w:pPr>
              <w:spacing w:after="0" w:line="240" w:lineRule="auto"/>
              <w:rPr>
                <w:rFonts w:ascii="Arial" w:eastAsia="Times New Roman" w:hAnsi="Arial" w:cs="Arial"/>
                <w:color w:val="000000"/>
                <w:sz w:val="18"/>
                <w:szCs w:val="18"/>
              </w:rPr>
            </w:pPr>
            <w:proofErr w:type="spellStart"/>
            <w:r>
              <w:rPr>
                <w:rFonts w:ascii="Calibri" w:hAnsi="Calibri" w:cs="Calibri"/>
                <w:color w:val="000000"/>
              </w:rPr>
              <w:t>Lgmn</w:t>
            </w:r>
            <w:proofErr w:type="spellEnd"/>
          </w:p>
        </w:tc>
        <w:tc>
          <w:tcPr>
            <w:tcW w:w="480" w:type="pct"/>
            <w:shd w:val="clear" w:color="auto" w:fill="auto"/>
            <w:noWrap/>
            <w:vAlign w:val="bottom"/>
            <w:hideMark/>
          </w:tcPr>
          <w:p w14:paraId="47F1EE79" w14:textId="77777777" w:rsidR="00BF211E" w:rsidRPr="00FB108C" w:rsidRDefault="00BF211E" w:rsidP="00386B4F">
            <w:pPr>
              <w:spacing w:after="0" w:line="240" w:lineRule="auto"/>
              <w:jc w:val="right"/>
              <w:rPr>
                <w:rFonts w:ascii="Arial" w:eastAsia="Times New Roman" w:hAnsi="Arial" w:cs="Arial"/>
                <w:color w:val="000000"/>
                <w:sz w:val="18"/>
                <w:szCs w:val="18"/>
              </w:rPr>
            </w:pPr>
            <w:r w:rsidRPr="00FB108C">
              <w:rPr>
                <w:rFonts w:ascii="Arial" w:hAnsi="Arial" w:cs="Arial"/>
                <w:color w:val="000000"/>
                <w:sz w:val="18"/>
                <w:szCs w:val="18"/>
              </w:rPr>
              <w:t>2.27</w:t>
            </w:r>
          </w:p>
        </w:tc>
      </w:tr>
      <w:tr w:rsidR="001C71BD" w:rsidRPr="0097360C" w14:paraId="666B82A6" w14:textId="77777777" w:rsidTr="00386B4F">
        <w:trPr>
          <w:trHeight w:val="290"/>
        </w:trPr>
        <w:tc>
          <w:tcPr>
            <w:tcW w:w="761" w:type="pct"/>
            <w:vAlign w:val="bottom"/>
          </w:tcPr>
          <w:p w14:paraId="39ABF88B" w14:textId="5CF19F7D" w:rsidR="00BF211E" w:rsidRPr="0097360C" w:rsidRDefault="00BF211E" w:rsidP="00386B4F">
            <w:pPr>
              <w:spacing w:after="0" w:line="240" w:lineRule="auto"/>
              <w:rPr>
                <w:rFonts w:ascii="Arial" w:eastAsia="Times New Roman" w:hAnsi="Arial" w:cs="Arial"/>
                <w:color w:val="000000"/>
                <w:sz w:val="18"/>
                <w:szCs w:val="18"/>
              </w:rPr>
            </w:pPr>
            <w:r>
              <w:rPr>
                <w:rFonts w:ascii="Calibri" w:hAnsi="Calibri" w:cs="Calibri"/>
                <w:color w:val="000000"/>
              </w:rPr>
              <w:t xml:space="preserve">S100a6 </w:t>
            </w:r>
            <w:r w:rsidRPr="0097360C">
              <w:rPr>
                <w:rFonts w:ascii="Arial" w:eastAsia="Times New Roman" w:hAnsi="Arial" w:cs="Arial"/>
                <w:color w:val="000000"/>
                <w:sz w:val="18"/>
                <w:szCs w:val="18"/>
              </w:rPr>
              <w:t xml:space="preserve"> </w:t>
            </w:r>
            <w:r w:rsidRPr="00D50FDC">
              <w:rPr>
                <w:rFonts w:ascii="Arial" w:eastAsia="Times New Roman" w:hAnsi="Arial" w:cs="Arial"/>
                <w:color w:val="000000"/>
                <w:sz w:val="18"/>
                <w:szCs w:val="18"/>
              </w:rPr>
              <w:fldChar w:fldCharType="begin"/>
            </w:r>
            <w:r w:rsidR="001C71BD">
              <w:rPr>
                <w:rFonts w:ascii="Arial" w:eastAsia="Times New Roman" w:hAnsi="Arial" w:cs="Arial"/>
                <w:color w:val="000000"/>
                <w:sz w:val="18"/>
                <w:szCs w:val="18"/>
              </w:rPr>
              <w:instrText xml:space="preserve"> ADDIN ZOTERO_ITEM CSL_CITATION {"citationID":"1Ha1ZizO","properties":{"formattedCitation":"(41)","plainCitation":"(41)","noteIndex":0},"citationItems":[{"id":241,"uris":["http://zotero.org/users/local/Cg9l0yK5/items/H75UX2VL"],"itemData":{"id":241,"type":"article-journal","abstract":"S100 proteins comprise a large family of Ca(2+)-binding proteins and exhibit a variety of intra- and extracellular functions. Despite our growing knowledge about  the biology of S100 proteins in some tissues such as brain and smooth muscle, little  is known about S100 proteins in the normal mammalian reproductive tissue. In the  present study, we investigated the distribution pattern of S100A6 (alternatively  named calcyclin) in the murine ovary by immunohistochemical study using specific  antibody. S100A6 was localized substantially in the cytoplasm of luteal cells, with  concomitant expression of S100A11, another S100 protein, but not in the other type  of cells such as oocytes, follicle epithelial cells (granulosa cells), and cells of  stroma including theca interna cells in the murine ovary. S100A6-immunoreactive  corpora lutea (CLs) were divided into two types: homogeneously and heterogeneously  stained CLs, and possibly they may represent differentiating and mature CL,  respectively. Our regression analysis revealed that expression level of S100A6  positively correlated with that of cytochrome P450 11A, a steroidogenic enzyme in  the heterogeously stained CL. These results suggested that S100A6 may contribute to  differentiation of steroidogenic activity of luteal cells in a synergistic manner  with S100A11 by facilitating some shared functions.","container-title":"Acta histochemica et cytochemica","DOI":"10.1267/ahc.11035","ISSN":"1347-5800 0044-5991","issue":"1","journalAbbreviation":"Acta Histochem Cytochem","language":"eng","note":"PMID: 22489100 \nPMCID: PMC3317497","page":"9-14","title":"Immunohistochemical Characterization of S100A6 in the Murine Ovary.","volume":"45","author":[{"family":"Hanaue","given":"Mayu"},{"family":"Miwa","given":"Naofumi"},{"family":"Takamatsu","given":"Ken"}],"issued":{"date-parts":[["2012",2,29]]}}}],"schema":"https://github.com/citation-style-language/schema/raw/master/csl-citation.json"} </w:instrText>
            </w:r>
            <w:r w:rsidRPr="00D50FDC">
              <w:rPr>
                <w:rFonts w:ascii="Arial" w:eastAsia="Times New Roman" w:hAnsi="Arial" w:cs="Arial"/>
                <w:color w:val="000000"/>
                <w:sz w:val="18"/>
                <w:szCs w:val="18"/>
              </w:rPr>
              <w:fldChar w:fldCharType="separate"/>
            </w:r>
            <w:r w:rsidR="001C71BD" w:rsidRPr="001C71BD">
              <w:rPr>
                <w:rFonts w:ascii="Arial" w:hAnsi="Arial" w:cs="Arial"/>
                <w:sz w:val="18"/>
              </w:rPr>
              <w:t>(41)</w:t>
            </w:r>
            <w:r w:rsidRPr="00D50FDC">
              <w:rPr>
                <w:rFonts w:ascii="Arial" w:eastAsia="Times New Roman" w:hAnsi="Arial" w:cs="Arial"/>
                <w:color w:val="000000"/>
                <w:sz w:val="18"/>
                <w:szCs w:val="18"/>
              </w:rPr>
              <w:fldChar w:fldCharType="end"/>
            </w:r>
          </w:p>
        </w:tc>
        <w:tc>
          <w:tcPr>
            <w:tcW w:w="521" w:type="pct"/>
            <w:shd w:val="clear" w:color="auto" w:fill="auto"/>
            <w:noWrap/>
            <w:vAlign w:val="bottom"/>
            <w:hideMark/>
          </w:tcPr>
          <w:p w14:paraId="156AB09C" w14:textId="77777777" w:rsidR="00BF211E" w:rsidRPr="00FB108C" w:rsidRDefault="00BF211E" w:rsidP="00386B4F">
            <w:pPr>
              <w:spacing w:after="0" w:line="240" w:lineRule="auto"/>
              <w:jc w:val="right"/>
              <w:rPr>
                <w:rFonts w:ascii="Arial" w:eastAsia="Times New Roman" w:hAnsi="Arial" w:cs="Arial"/>
                <w:color w:val="000000"/>
                <w:sz w:val="18"/>
                <w:szCs w:val="18"/>
              </w:rPr>
            </w:pPr>
            <w:r w:rsidRPr="00FB108C">
              <w:rPr>
                <w:rFonts w:ascii="Arial" w:hAnsi="Arial" w:cs="Arial"/>
                <w:color w:val="000000"/>
                <w:sz w:val="18"/>
                <w:szCs w:val="18"/>
              </w:rPr>
              <w:t>2.22</w:t>
            </w:r>
          </w:p>
        </w:tc>
        <w:tc>
          <w:tcPr>
            <w:tcW w:w="653" w:type="pct"/>
            <w:vAlign w:val="bottom"/>
          </w:tcPr>
          <w:p w14:paraId="3906086B" w14:textId="12FC230D" w:rsidR="00BF211E" w:rsidRPr="008565AB" w:rsidRDefault="00BF211E" w:rsidP="00386B4F">
            <w:pPr>
              <w:spacing w:after="0" w:line="240" w:lineRule="auto"/>
              <w:rPr>
                <w:rFonts w:ascii="Arial" w:eastAsia="Times New Roman" w:hAnsi="Arial" w:cs="Arial"/>
                <w:color w:val="000000"/>
                <w:sz w:val="18"/>
                <w:szCs w:val="18"/>
                <w:lang w:val="fr-FR"/>
              </w:rPr>
            </w:pPr>
            <w:r w:rsidRPr="008565AB">
              <w:rPr>
                <w:rFonts w:ascii="Arial" w:hAnsi="Arial" w:cs="Arial"/>
                <w:color w:val="000000"/>
                <w:sz w:val="18"/>
                <w:szCs w:val="18"/>
              </w:rPr>
              <w:t xml:space="preserve">Col1a2 </w:t>
            </w:r>
            <w:r w:rsidRPr="008565AB">
              <w:rPr>
                <w:rFonts w:ascii="Arial" w:eastAsia="Times New Roman" w:hAnsi="Arial" w:cs="Arial"/>
                <w:color w:val="000000"/>
                <w:sz w:val="18"/>
                <w:szCs w:val="18"/>
              </w:rPr>
              <w:fldChar w:fldCharType="begin"/>
            </w:r>
            <w:r w:rsidR="001C71BD">
              <w:rPr>
                <w:rFonts w:ascii="Arial" w:eastAsia="Times New Roman" w:hAnsi="Arial" w:cs="Arial"/>
                <w:color w:val="000000"/>
                <w:sz w:val="18"/>
                <w:szCs w:val="18"/>
                <w:lang w:val="fr-FR"/>
              </w:rPr>
              <w:instrText xml:space="preserve"> ADDIN ZOTERO_ITEM CSL_CITATION {"citationID":"pJeJnDYZ","properties":{"formattedCitation":"(51)","plainCitation":"(51)","noteIndex":0},"citationItems":[{"id":158,"uris":["http://zotero.org/users/local/Cg9l0yK5/items/S64YFSZX"],"itemData":{"id":158,"type":"article-journal","abstract":"Estrogenic hormone replacement therapy increases the risk of developing ovarian cancer, and estrogen promotes tumour initiation and growth in mouse models of this  disease. GREB1 (Growth regulation by estrogen in breast cancer 1) is an ESR1  (estrogen receptor 1)-upregulated protein which may mediate estrogen action. GREB1  knockdown prevents hormone-driven proliferation of several breast and prostate  cancer cell lines and prolongs survival of mice engrafted with ovarian cancer cells,  but its mechanism of action remains unclear. In this study, we explored GREB1  function in ovarian cancer. GREB1 overexpression in ovarian cancer cell lines  increased cell proliferation and migration and promoted a mesenchymal morphology  associated with increased Col1a2, which encodes a collagen I subunit. GREB1  knockdown inhibited proliferation and promoted an epithelial morphology associated  with decreased Col1a2. In human tissues, GREB1 was expressed in all ESR1-expressing  tissues throughout the normal female reproductive tract, in addition to several  tissues that did not show ESR1 expression. In a TMA of ovarian cancer cases, GREB1  was expressed in 75-85% of serous, endometrioid, mucinous, and clear cell  carcinomas. Serous, endometrioid, and mucinous ovarian cancers were almost always  positive for either ESR1 or GREB1, suggesting a possible reliance on signalling  through ESR1 and/or GREB1. Targeting GREB1 may inhibit tumour-promoting pathways  both downstream and independent of ESR1 and is therefore a possible treatment  strategy worthy of further investigation.","container-title":"Oncogene","DOI":"10.1038/s41388-018-0377-y","ISSN":"1476-5594 0950-9232","issue":"44","journalAbbreviation":"Oncogene","language":"eng","note":"PMID: 29973689 \nPMCID: PMC6212416","page":"5873-5886","title":"GREB1 is an estrogen receptor-regulated tumour promoter that is frequently expressed in ovarian cancer.","volume":"37","author":[{"family":"Hodgkinson","given":"Kendra"},{"family":"Forrest","given":"Laura A."},{"family":"Vuong","given":"Nhung"},{"family":"Garson","given":"Kenneth"},{"family":"Djordjevic","given":"Bojana"},{"family":"Vanderhyden","given":"Barbara C."}],"issued":{"date-parts":[["2018",11]]}}}],"schema":"https://github.com/citation-style-language/schema/raw/master/csl-citation.json"} </w:instrText>
            </w:r>
            <w:r w:rsidRPr="008565AB">
              <w:rPr>
                <w:rFonts w:ascii="Arial" w:eastAsia="Times New Roman" w:hAnsi="Arial" w:cs="Arial"/>
                <w:color w:val="000000"/>
                <w:sz w:val="18"/>
                <w:szCs w:val="18"/>
              </w:rPr>
              <w:fldChar w:fldCharType="separate"/>
            </w:r>
            <w:r w:rsidR="001C71BD" w:rsidRPr="001C71BD">
              <w:rPr>
                <w:rFonts w:ascii="Arial" w:hAnsi="Arial" w:cs="Arial"/>
                <w:sz w:val="18"/>
              </w:rPr>
              <w:t>(51)</w:t>
            </w:r>
            <w:r w:rsidRPr="008565AB">
              <w:rPr>
                <w:rFonts w:ascii="Arial" w:eastAsia="Times New Roman" w:hAnsi="Arial" w:cs="Arial"/>
                <w:color w:val="000000"/>
                <w:sz w:val="18"/>
                <w:szCs w:val="18"/>
              </w:rPr>
              <w:fldChar w:fldCharType="end"/>
            </w:r>
          </w:p>
        </w:tc>
        <w:tc>
          <w:tcPr>
            <w:tcW w:w="599" w:type="pct"/>
            <w:shd w:val="clear" w:color="auto" w:fill="auto"/>
            <w:noWrap/>
            <w:vAlign w:val="bottom"/>
            <w:hideMark/>
          </w:tcPr>
          <w:p w14:paraId="377DD01B" w14:textId="77777777" w:rsidR="00BF211E" w:rsidRPr="008565AB" w:rsidRDefault="00BF211E" w:rsidP="00386B4F">
            <w:pPr>
              <w:spacing w:after="0" w:line="240" w:lineRule="auto"/>
              <w:jc w:val="right"/>
              <w:rPr>
                <w:rFonts w:ascii="Arial" w:eastAsia="Times New Roman" w:hAnsi="Arial" w:cs="Arial"/>
                <w:color w:val="000000"/>
                <w:sz w:val="18"/>
                <w:szCs w:val="18"/>
              </w:rPr>
            </w:pPr>
            <w:r w:rsidRPr="008565AB">
              <w:rPr>
                <w:rFonts w:ascii="Arial" w:hAnsi="Arial" w:cs="Arial"/>
                <w:color w:val="000000"/>
                <w:sz w:val="18"/>
                <w:szCs w:val="18"/>
              </w:rPr>
              <w:t>1.96</w:t>
            </w:r>
          </w:p>
        </w:tc>
        <w:tc>
          <w:tcPr>
            <w:tcW w:w="747" w:type="pct"/>
            <w:shd w:val="clear" w:color="auto" w:fill="auto"/>
            <w:noWrap/>
            <w:vAlign w:val="bottom"/>
            <w:hideMark/>
          </w:tcPr>
          <w:p w14:paraId="70A5707A" w14:textId="4EEFB246" w:rsidR="00BF211E" w:rsidRPr="0097360C" w:rsidRDefault="00BF211E" w:rsidP="00386B4F">
            <w:pPr>
              <w:spacing w:after="0" w:line="240" w:lineRule="auto"/>
              <w:rPr>
                <w:rFonts w:ascii="Arial" w:eastAsia="Times New Roman" w:hAnsi="Arial" w:cs="Arial"/>
                <w:color w:val="000000"/>
                <w:sz w:val="18"/>
                <w:szCs w:val="18"/>
              </w:rPr>
            </w:pPr>
            <w:r w:rsidRPr="0097360C">
              <w:rPr>
                <w:rFonts w:ascii="Arial" w:eastAsia="Times New Roman" w:hAnsi="Arial" w:cs="Arial"/>
                <w:color w:val="000000"/>
                <w:sz w:val="18"/>
                <w:szCs w:val="18"/>
              </w:rPr>
              <w:t>Ccna2</w:t>
            </w:r>
            <w:r w:rsidRPr="00D50FDC">
              <w:rPr>
                <w:rFonts w:ascii="Arial" w:eastAsia="Times New Roman" w:hAnsi="Arial" w:cs="Arial"/>
                <w:color w:val="000000"/>
                <w:sz w:val="18"/>
                <w:szCs w:val="18"/>
              </w:rPr>
              <w:t xml:space="preserve"> </w:t>
            </w:r>
            <w:r w:rsidRPr="00D50FDC">
              <w:rPr>
                <w:rFonts w:ascii="Arial" w:eastAsia="Times New Roman" w:hAnsi="Arial" w:cs="Arial"/>
                <w:color w:val="000000"/>
                <w:sz w:val="18"/>
                <w:szCs w:val="18"/>
              </w:rPr>
              <w:fldChar w:fldCharType="begin"/>
            </w:r>
            <w:r w:rsidR="001C71BD">
              <w:rPr>
                <w:rFonts w:ascii="Arial" w:eastAsia="Times New Roman" w:hAnsi="Arial" w:cs="Arial"/>
                <w:color w:val="000000"/>
                <w:sz w:val="18"/>
                <w:szCs w:val="18"/>
              </w:rPr>
              <w:instrText xml:space="preserve"> ADDIN ZOTERO_ITEM CSL_CITATION {"citationID":"idD86dyC","properties":{"formattedCitation":"(18,19)","plainCitation":"(18,19)","noteIndex":0},"citationItems":[{"id":289,"uris":["http://zotero.org/users/local/Cg9l0yK5/items/JQBVAMYR"],"itemData":{"id":289,"type":"article-journal","abstract":"Several types of cyclins have been identified and among these, cyclin A2 is synthesized in somatic cells at the onset of DNA synthesis as well as during the  G2/M transition associated with cyclin-dependent protein kinases 1 and 2. Modulation  of cyclin A transcription is due to the interplay between a cell cycle-dependent  periodic relief of a transcriptional repression and signals transduced through  adenosine 3',5'-cyclic monophosphate, transforming growth factor-beta, and the  integrin-mediated pathways. Using primary mouse embryonic fibroblasts from embryos  where the genes coding for the protein responsible for susceptibility to  retinoblastoma (pRB) and the related p107 and p130 proteins had been individually  inactivated, we showed that cyclin A is a functional target of pRB-mediated cell  cycle arrest. The factors involved are discussed.","container-title":"Biochemical pharmacology","DOI":"10.1016/s0006-2952(00)00384-1","ISSN":"0006-2952","issue":"8","journalAbbreviation":"Biochem Pharmacol","language":"eng","note":"publisher-place: England\nPMID: 11007956","page":"1179-1184","title":"Cyclin A2 transcriptional regulation: modulation of cell cycle control at the G1/S transition by peripheral cues.","volume":"60","author":[{"family":"Blanchard","given":"J. M."}],"issued":{"date-parts":[["2000",10,15]]}}},{"id":290,"uris":["http://zotero.org/users/local/Cg9l0yK5/items/RBHS63BF"],"itemData":{"id":290,"type":"article-journal","abstract":"Here we have used siRNAs and time-lapse epifluorescence microscopy to examine the roles of various candidate mitotic cyclins in chromatin condensation in HeLa cells.  Knocking down cyclin A2 resulted in a substantial (</w:instrText>
            </w:r>
            <w:r w:rsidR="001C71BD">
              <w:rPr>
                <w:rFonts w:ascii="Cambria Math" w:eastAsia="Times New Roman" w:hAnsi="Cambria Math" w:cs="Cambria Math"/>
                <w:color w:val="000000"/>
                <w:sz w:val="18"/>
                <w:szCs w:val="18"/>
              </w:rPr>
              <w:instrText>∼</w:instrText>
            </w:r>
            <w:r w:rsidR="001C71BD">
              <w:rPr>
                <w:rFonts w:ascii="Arial" w:eastAsia="Times New Roman" w:hAnsi="Arial" w:cs="Arial"/>
                <w:color w:val="000000"/>
                <w:sz w:val="18"/>
                <w:szCs w:val="18"/>
              </w:rPr>
              <w:instrText xml:space="preserve">7 h) delay in chromatin  condensation and histone H3 phosphorylation, and expressing an siRNA-resistant form  of cyclin A2 partially rescued chromatin condensation. There was no detectable delay  in DNA replication in the cyclin A2 knockdowns, arguing that the delay in chromatin  condensation is not secondary to a delay in S-phase completion. Cyclin A2 is  required for the activation and nuclear accumulation of cyclin B1-Cdk1, raising the  possibility that cyclin B1-Cdk1 mediates the effects of cyclin A2. Consistent with  this possibility, we found that chromatin condensation was tightly associated  temporally with the redistribution of cyclin B1 to the nucleus. Moreover, a  constitutively nuclear cyclin B1 rescued chromatin condensation in cyclin A2  knockdown cells. On the other hand, knocking down cyclin B1 delayed chromatin  condensation by only about one hour. Our working hypothesis is that active, nuclear  cyclin B1-Cdk1 normally cooperates with cyclin A2 to bring about early mitotic  events. Because cyclin A2 is present only during the early stages of mitosis, we  asked whether cyclin B knockdown might have more dramatic defects on late mitotic  events. Consistent with this possibility, we found that cyclin B1- and cyclin  B1/B2-knockdown cells had difficulty in maintaining a mitotic arrest in the presence  of nocodazole. Taken together, these data suggest that cyclin A2 helps initiate  mitosis, in part through its effects on cyclin B1, and that cyclins B1 and B2 are  particularly critical for the maintenance of the mitotic state.","container-title":"Molecular biology of the cell","DOI":"10.1091/mbc.E10-05-0393","ISSN":"1939-4586 1059-1524","issue":"18","journalAbbreviation":"Mol Biol Cell","language":"eng","note":"PMID: 20660152 \nPMCID: PMC2938381","page":"3149-3161","title":"The roles of cyclin A2, B1, and B2 in early and late mitotic events.","volume":"21","author":[{"family":"Gong","given":"Delquin"},{"family":"Ferrell","given":"James E. Jr"}],"issued":{"date-parts":[["2010",9,15]]}}}],"schema":"https://github.com/citation-style-language/schema/raw/master/csl-citation.json"} </w:instrText>
            </w:r>
            <w:r w:rsidRPr="00D50FDC">
              <w:rPr>
                <w:rFonts w:ascii="Arial" w:eastAsia="Times New Roman" w:hAnsi="Arial" w:cs="Arial"/>
                <w:color w:val="000000"/>
                <w:sz w:val="18"/>
                <w:szCs w:val="18"/>
              </w:rPr>
              <w:fldChar w:fldCharType="separate"/>
            </w:r>
            <w:r w:rsidR="001C71BD" w:rsidRPr="001C71BD">
              <w:rPr>
                <w:rFonts w:ascii="Arial" w:hAnsi="Arial" w:cs="Arial"/>
                <w:sz w:val="18"/>
              </w:rPr>
              <w:t>(18,19)</w:t>
            </w:r>
            <w:r w:rsidRPr="00D50FDC">
              <w:rPr>
                <w:rFonts w:ascii="Arial" w:eastAsia="Times New Roman" w:hAnsi="Arial" w:cs="Arial"/>
                <w:color w:val="000000"/>
                <w:sz w:val="18"/>
                <w:szCs w:val="18"/>
              </w:rPr>
              <w:fldChar w:fldCharType="end"/>
            </w:r>
          </w:p>
        </w:tc>
        <w:tc>
          <w:tcPr>
            <w:tcW w:w="488" w:type="pct"/>
            <w:shd w:val="clear" w:color="auto" w:fill="auto"/>
            <w:noWrap/>
            <w:vAlign w:val="bottom"/>
            <w:hideMark/>
          </w:tcPr>
          <w:p w14:paraId="15D8DBE7" w14:textId="77777777" w:rsidR="00BF211E" w:rsidRPr="0097360C" w:rsidRDefault="00BF211E" w:rsidP="00386B4F">
            <w:pPr>
              <w:spacing w:after="0" w:line="240" w:lineRule="auto"/>
              <w:jc w:val="right"/>
              <w:rPr>
                <w:rFonts w:ascii="Arial" w:eastAsia="Times New Roman" w:hAnsi="Arial" w:cs="Arial"/>
                <w:color w:val="000000"/>
                <w:sz w:val="18"/>
                <w:szCs w:val="18"/>
              </w:rPr>
            </w:pPr>
            <w:r w:rsidRPr="00A60B9C">
              <w:rPr>
                <w:rFonts w:ascii="Arial" w:hAnsi="Arial" w:cs="Arial"/>
                <w:color w:val="000000"/>
                <w:sz w:val="18"/>
                <w:szCs w:val="18"/>
              </w:rPr>
              <w:t>1.61</w:t>
            </w:r>
          </w:p>
        </w:tc>
        <w:tc>
          <w:tcPr>
            <w:tcW w:w="750" w:type="pct"/>
            <w:vAlign w:val="bottom"/>
          </w:tcPr>
          <w:p w14:paraId="3B78EFD4" w14:textId="77777777" w:rsidR="00BF211E" w:rsidRPr="0097360C" w:rsidRDefault="00BF211E" w:rsidP="00386B4F">
            <w:pPr>
              <w:spacing w:after="0" w:line="240" w:lineRule="auto"/>
              <w:rPr>
                <w:rFonts w:ascii="Arial" w:eastAsia="Times New Roman" w:hAnsi="Arial" w:cs="Arial"/>
                <w:color w:val="000000"/>
                <w:sz w:val="18"/>
                <w:szCs w:val="18"/>
              </w:rPr>
            </w:pPr>
            <w:r>
              <w:rPr>
                <w:rFonts w:ascii="Calibri" w:hAnsi="Calibri" w:cs="Calibri"/>
                <w:color w:val="000000"/>
              </w:rPr>
              <w:t>Star</w:t>
            </w:r>
          </w:p>
        </w:tc>
        <w:tc>
          <w:tcPr>
            <w:tcW w:w="480" w:type="pct"/>
            <w:shd w:val="clear" w:color="auto" w:fill="auto"/>
            <w:noWrap/>
            <w:vAlign w:val="bottom"/>
            <w:hideMark/>
          </w:tcPr>
          <w:p w14:paraId="299579B9" w14:textId="77777777" w:rsidR="00BF211E" w:rsidRPr="00FB108C" w:rsidRDefault="00BF211E" w:rsidP="00386B4F">
            <w:pPr>
              <w:spacing w:after="0" w:line="240" w:lineRule="auto"/>
              <w:jc w:val="right"/>
              <w:rPr>
                <w:rFonts w:ascii="Arial" w:eastAsia="Times New Roman" w:hAnsi="Arial" w:cs="Arial"/>
                <w:color w:val="000000"/>
                <w:sz w:val="18"/>
                <w:szCs w:val="18"/>
              </w:rPr>
            </w:pPr>
            <w:r w:rsidRPr="00FB108C">
              <w:rPr>
                <w:rFonts w:ascii="Arial" w:hAnsi="Arial" w:cs="Arial"/>
                <w:color w:val="000000"/>
                <w:sz w:val="18"/>
                <w:szCs w:val="18"/>
              </w:rPr>
              <w:t>2.25</w:t>
            </w:r>
          </w:p>
        </w:tc>
      </w:tr>
      <w:tr w:rsidR="001C71BD" w:rsidRPr="0097360C" w14:paraId="0119604F" w14:textId="77777777" w:rsidTr="00386B4F">
        <w:trPr>
          <w:trHeight w:val="290"/>
        </w:trPr>
        <w:tc>
          <w:tcPr>
            <w:tcW w:w="761" w:type="pct"/>
            <w:vAlign w:val="bottom"/>
          </w:tcPr>
          <w:p w14:paraId="45800F58" w14:textId="77777777" w:rsidR="00BF211E" w:rsidRPr="0097360C" w:rsidRDefault="00BF211E" w:rsidP="00386B4F">
            <w:pPr>
              <w:spacing w:after="0" w:line="240" w:lineRule="auto"/>
              <w:rPr>
                <w:rFonts w:ascii="Arial" w:eastAsia="Times New Roman" w:hAnsi="Arial" w:cs="Arial"/>
                <w:color w:val="000000"/>
                <w:sz w:val="18"/>
                <w:szCs w:val="18"/>
                <w:lang w:val="fr-FR"/>
              </w:rPr>
            </w:pPr>
            <w:proofErr w:type="spellStart"/>
            <w:r>
              <w:rPr>
                <w:rFonts w:ascii="Calibri" w:hAnsi="Calibri" w:cs="Calibri"/>
                <w:color w:val="000000"/>
              </w:rPr>
              <w:t>Cemip</w:t>
            </w:r>
            <w:proofErr w:type="spellEnd"/>
          </w:p>
        </w:tc>
        <w:tc>
          <w:tcPr>
            <w:tcW w:w="521" w:type="pct"/>
            <w:shd w:val="clear" w:color="auto" w:fill="auto"/>
            <w:noWrap/>
            <w:vAlign w:val="bottom"/>
            <w:hideMark/>
          </w:tcPr>
          <w:p w14:paraId="5CD9722B" w14:textId="77777777" w:rsidR="00BF211E" w:rsidRPr="00FB108C" w:rsidRDefault="00BF211E" w:rsidP="00386B4F">
            <w:pPr>
              <w:spacing w:after="0" w:line="240" w:lineRule="auto"/>
              <w:jc w:val="right"/>
              <w:rPr>
                <w:rFonts w:ascii="Arial" w:eastAsia="Times New Roman" w:hAnsi="Arial" w:cs="Arial"/>
                <w:color w:val="000000"/>
                <w:sz w:val="18"/>
                <w:szCs w:val="18"/>
                <w:lang w:val="fr-FR"/>
              </w:rPr>
            </w:pPr>
            <w:r w:rsidRPr="00FB108C">
              <w:rPr>
                <w:rFonts w:ascii="Arial" w:hAnsi="Arial" w:cs="Arial"/>
                <w:color w:val="000000"/>
                <w:sz w:val="18"/>
                <w:szCs w:val="18"/>
              </w:rPr>
              <w:t>2.20</w:t>
            </w:r>
          </w:p>
        </w:tc>
        <w:tc>
          <w:tcPr>
            <w:tcW w:w="653" w:type="pct"/>
            <w:vAlign w:val="bottom"/>
          </w:tcPr>
          <w:p w14:paraId="1CFDB53D" w14:textId="527196F3" w:rsidR="00BF211E" w:rsidRPr="008565AB" w:rsidRDefault="00BF211E" w:rsidP="00386B4F">
            <w:pPr>
              <w:spacing w:after="0" w:line="240" w:lineRule="auto"/>
              <w:rPr>
                <w:rFonts w:ascii="Arial" w:eastAsia="Times New Roman" w:hAnsi="Arial" w:cs="Arial"/>
                <w:color w:val="000000"/>
                <w:sz w:val="18"/>
                <w:szCs w:val="18"/>
                <w:lang w:val="fr-FR"/>
              </w:rPr>
            </w:pPr>
            <w:r w:rsidRPr="008565AB">
              <w:rPr>
                <w:rFonts w:ascii="Arial" w:hAnsi="Arial" w:cs="Arial"/>
                <w:color w:val="000000"/>
                <w:sz w:val="18"/>
                <w:szCs w:val="18"/>
              </w:rPr>
              <w:t xml:space="preserve">Col1a1 </w:t>
            </w:r>
            <w:r w:rsidRPr="008565AB">
              <w:rPr>
                <w:rFonts w:ascii="Arial" w:eastAsia="Times New Roman" w:hAnsi="Arial" w:cs="Arial"/>
                <w:color w:val="000000"/>
                <w:sz w:val="18"/>
                <w:szCs w:val="18"/>
                <w:lang w:val="fr-FR"/>
              </w:rPr>
              <w:fldChar w:fldCharType="begin"/>
            </w:r>
            <w:r w:rsidR="001C71BD">
              <w:rPr>
                <w:rFonts w:ascii="Arial" w:eastAsia="Times New Roman" w:hAnsi="Arial" w:cs="Arial"/>
                <w:color w:val="000000"/>
                <w:sz w:val="18"/>
                <w:szCs w:val="18"/>
                <w:lang w:val="fr-FR"/>
              </w:rPr>
              <w:instrText xml:space="preserve"> ADDIN ZOTERO_ITEM CSL_CITATION {"citationID":"BccdjkaQ","properties":{"formattedCitation":"(52)","plainCitation":"(52)","noteIndex":0},"citationItems":[{"id":58,"uris":["http://zotero.org/users/local/Cg9l0yK5/items/99L3PVF7"],"itemData":{"id":58,"type":"article-journal","abstract":"The human ovary orchestrates sex hormone production and undergoes monthly structural changes to release mature oocytes. The outer lining of the ovary (cortex) has a key  role in defining fertility in women as it harbors the ovarian reserve. It has been  postulated that putative oogonial stem cells exist in the ovarian cortex and that  these can be captured by DDX4 antibody isolation. Here, we report single-cell  transcriptomes and cell surface antigen profiles of over 24,000 cells from high  quality ovarian cortex samples from 21 patients. Our data identify transcriptional  profiles of six main cell types; oocytes, granulosa cells, immune cells, endothelial  cells, perivascular cells, and stromal cells. Cells captured by DDX4 antibody are  perivascular cells, not oogonial stem cells. Our data do not support the existence  of germline stem cells in adult human ovaries, thereby reinforcing the dogma of a  limited ovarian reserve.","container-title":"Nature communications","DOI":"10.1038/s41467-020-14936-3","ISSN":"2041-1723","issue":"1","journalAbbreviation":"Nat Commun","language":"eng","note":"PMID: 32123174 \nPMCID: PMC7052271","page":"1147","title":"Single-cell analysis of human ovarian cortex identifies distinct cell populations but no oogonial stem cells.","volume":"11","author":[{"family":"Wagner","given":"Magdalena"},{"family":"Yoshihara","given":"Masahito"},{"family":"Douagi","given":"Iyadh"},{"family":"Damdimopoulos","given":"Anastasios"},{"family":"Panula","given":"Sarita"},{"family":"Petropoulos","given":"Sophie"},{"family":"Lu","given":"Haojiang"},{"family":"Pettersson","given":"Karin"},{"family":"Palm","given":"Kerstin"},{"family":"Katayama","given":"Shintaro"},{"family":"Hovatta","given":"Outi"},{"family":"Kere","given":"Juha"},{"family":"Lanner","given":"Fredrik"},{"family":"Damdimopoulou","given":"Pauliina"}],"issued":{"date-parts":[["2020",3,2]]}}}],"schema":"https://github.com/citation-style-language/schema/raw/master/csl-citation.json"} </w:instrText>
            </w:r>
            <w:r w:rsidRPr="008565AB">
              <w:rPr>
                <w:rFonts w:ascii="Arial" w:eastAsia="Times New Roman" w:hAnsi="Arial" w:cs="Arial"/>
                <w:color w:val="000000"/>
                <w:sz w:val="18"/>
                <w:szCs w:val="18"/>
                <w:lang w:val="fr-FR"/>
              </w:rPr>
              <w:fldChar w:fldCharType="separate"/>
            </w:r>
            <w:r w:rsidR="001C71BD" w:rsidRPr="001C71BD">
              <w:rPr>
                <w:rFonts w:ascii="Arial" w:hAnsi="Arial" w:cs="Arial"/>
                <w:sz w:val="18"/>
              </w:rPr>
              <w:t>(52)</w:t>
            </w:r>
            <w:r w:rsidRPr="008565AB">
              <w:rPr>
                <w:rFonts w:ascii="Arial" w:eastAsia="Times New Roman" w:hAnsi="Arial" w:cs="Arial"/>
                <w:color w:val="000000"/>
                <w:sz w:val="18"/>
                <w:szCs w:val="18"/>
                <w:lang w:val="fr-FR"/>
              </w:rPr>
              <w:fldChar w:fldCharType="end"/>
            </w:r>
          </w:p>
        </w:tc>
        <w:tc>
          <w:tcPr>
            <w:tcW w:w="599" w:type="pct"/>
            <w:shd w:val="clear" w:color="auto" w:fill="auto"/>
            <w:noWrap/>
            <w:vAlign w:val="bottom"/>
            <w:hideMark/>
          </w:tcPr>
          <w:p w14:paraId="4C1EA1ED" w14:textId="77777777" w:rsidR="00BF211E" w:rsidRPr="008565AB" w:rsidRDefault="00BF211E" w:rsidP="00386B4F">
            <w:pPr>
              <w:spacing w:after="0" w:line="240" w:lineRule="auto"/>
              <w:jc w:val="right"/>
              <w:rPr>
                <w:rFonts w:ascii="Arial" w:eastAsia="Times New Roman" w:hAnsi="Arial" w:cs="Arial"/>
                <w:color w:val="000000"/>
                <w:sz w:val="18"/>
                <w:szCs w:val="18"/>
                <w:lang w:val="fr-FR"/>
              </w:rPr>
            </w:pPr>
            <w:r w:rsidRPr="008565AB">
              <w:rPr>
                <w:rFonts w:ascii="Arial" w:hAnsi="Arial" w:cs="Arial"/>
                <w:color w:val="000000"/>
                <w:sz w:val="18"/>
                <w:szCs w:val="18"/>
              </w:rPr>
              <w:t>1.84</w:t>
            </w:r>
          </w:p>
        </w:tc>
        <w:tc>
          <w:tcPr>
            <w:tcW w:w="747" w:type="pct"/>
            <w:shd w:val="clear" w:color="auto" w:fill="auto"/>
            <w:noWrap/>
            <w:vAlign w:val="bottom"/>
            <w:hideMark/>
          </w:tcPr>
          <w:p w14:paraId="4E36E6DA" w14:textId="27CB8C84" w:rsidR="00BF211E" w:rsidRPr="0097360C" w:rsidRDefault="00BF211E" w:rsidP="00386B4F">
            <w:pPr>
              <w:spacing w:after="0" w:line="240" w:lineRule="auto"/>
              <w:rPr>
                <w:rFonts w:ascii="Arial" w:eastAsia="Times New Roman" w:hAnsi="Arial" w:cs="Arial"/>
                <w:color w:val="000000"/>
                <w:sz w:val="18"/>
                <w:szCs w:val="18"/>
                <w:lang w:val="fr-FR"/>
              </w:rPr>
            </w:pPr>
            <w:r w:rsidRPr="0097360C">
              <w:rPr>
                <w:rFonts w:ascii="Arial" w:eastAsia="Times New Roman" w:hAnsi="Arial" w:cs="Arial"/>
                <w:color w:val="000000"/>
                <w:sz w:val="18"/>
                <w:szCs w:val="18"/>
                <w:lang w:val="fr-FR"/>
              </w:rPr>
              <w:t>Nap1l5</w:t>
            </w:r>
            <w:r w:rsidRPr="00D50FDC">
              <w:rPr>
                <w:rFonts w:ascii="Arial" w:eastAsia="Times New Roman" w:hAnsi="Arial" w:cs="Arial"/>
                <w:color w:val="000000"/>
                <w:sz w:val="18"/>
                <w:szCs w:val="18"/>
                <w:lang w:val="fr-FR"/>
              </w:rPr>
              <w:t xml:space="preserve"> </w:t>
            </w:r>
            <w:r w:rsidRPr="00D50FDC">
              <w:rPr>
                <w:rFonts w:ascii="Arial" w:eastAsia="Times New Roman" w:hAnsi="Arial" w:cs="Arial"/>
                <w:color w:val="000000"/>
                <w:sz w:val="18"/>
                <w:szCs w:val="18"/>
                <w:lang w:val="fr-FR"/>
              </w:rPr>
              <w:fldChar w:fldCharType="begin"/>
            </w:r>
            <w:r w:rsidR="001C71BD">
              <w:rPr>
                <w:rFonts w:ascii="Arial" w:eastAsia="Times New Roman" w:hAnsi="Arial" w:cs="Arial"/>
                <w:color w:val="000000"/>
                <w:sz w:val="18"/>
                <w:szCs w:val="18"/>
                <w:lang w:val="fr-FR"/>
              </w:rPr>
              <w:instrText xml:space="preserve"> ADDIN ZOTERO_ITEM CSL_CITATION {"citationID":"w0jwdrFe","properties":{"formattedCitation":"(16)","plainCitation":"(16)","noteIndex":0},"citationItems":[{"id":147,"uris":["http://zotero.org/users/local/Cg9l0yK5/items/TU2G69Q8"],"itemData":{"id":147,"type":"article-journal","container-title":"Reproduction","DOI":"10.1530/REP-18-0186","issue":"3","journalAbbreviation":"Reproduction","language":"English","note":"publisher-place: Bristol, UK\npublisher: Bioscientifica Ltd","page":"239-248","title":"Expression of atresia biomarkers in granulosa cells after ovarian stimulation in heifers","volume":"156","author":[{"family":"Landry","given":"David A"},{"family":"Rossi-Perazza","given":"Lia"},{"family":"Lafontaine","given":"Simon"},{"family":"Sirard","given":"Marc-André"}],"issued":{"date-parts":[["2018",9,1]]}}}],"schema":"https://github.com/citation-style-language/schema/raw/master/csl-citation.json"} </w:instrText>
            </w:r>
            <w:r w:rsidRPr="00D50FDC">
              <w:rPr>
                <w:rFonts w:ascii="Arial" w:eastAsia="Times New Roman" w:hAnsi="Arial" w:cs="Arial"/>
                <w:color w:val="000000"/>
                <w:sz w:val="18"/>
                <w:szCs w:val="18"/>
                <w:lang w:val="fr-FR"/>
              </w:rPr>
              <w:fldChar w:fldCharType="separate"/>
            </w:r>
            <w:r w:rsidR="001C71BD" w:rsidRPr="001C71BD">
              <w:rPr>
                <w:rFonts w:ascii="Arial" w:hAnsi="Arial" w:cs="Arial"/>
                <w:sz w:val="18"/>
              </w:rPr>
              <w:t>(16)</w:t>
            </w:r>
            <w:r w:rsidRPr="00D50FDC">
              <w:rPr>
                <w:rFonts w:ascii="Arial" w:eastAsia="Times New Roman" w:hAnsi="Arial" w:cs="Arial"/>
                <w:color w:val="000000"/>
                <w:sz w:val="18"/>
                <w:szCs w:val="18"/>
                <w:lang w:val="fr-FR"/>
              </w:rPr>
              <w:fldChar w:fldCharType="end"/>
            </w:r>
          </w:p>
        </w:tc>
        <w:tc>
          <w:tcPr>
            <w:tcW w:w="488" w:type="pct"/>
            <w:shd w:val="clear" w:color="auto" w:fill="auto"/>
            <w:noWrap/>
            <w:vAlign w:val="bottom"/>
            <w:hideMark/>
          </w:tcPr>
          <w:p w14:paraId="2B43064C" w14:textId="77777777" w:rsidR="00BF211E" w:rsidRPr="0097360C" w:rsidRDefault="00BF211E" w:rsidP="00386B4F">
            <w:pPr>
              <w:spacing w:after="0" w:line="240" w:lineRule="auto"/>
              <w:jc w:val="right"/>
              <w:rPr>
                <w:rFonts w:ascii="Arial" w:eastAsia="Times New Roman" w:hAnsi="Arial" w:cs="Arial"/>
                <w:color w:val="000000"/>
                <w:sz w:val="18"/>
                <w:szCs w:val="18"/>
                <w:lang w:val="fr-FR"/>
              </w:rPr>
            </w:pPr>
            <w:r w:rsidRPr="00A60B9C">
              <w:rPr>
                <w:rFonts w:ascii="Arial" w:hAnsi="Arial" w:cs="Arial"/>
                <w:color w:val="000000"/>
                <w:sz w:val="18"/>
                <w:szCs w:val="18"/>
              </w:rPr>
              <w:t>1.60</w:t>
            </w:r>
          </w:p>
        </w:tc>
        <w:tc>
          <w:tcPr>
            <w:tcW w:w="750" w:type="pct"/>
            <w:vAlign w:val="bottom"/>
          </w:tcPr>
          <w:p w14:paraId="455567ED" w14:textId="0D1A9BBF" w:rsidR="00BF211E" w:rsidRPr="0097360C" w:rsidRDefault="00BF211E" w:rsidP="00386B4F">
            <w:pPr>
              <w:spacing w:after="0" w:line="240" w:lineRule="auto"/>
              <w:rPr>
                <w:rFonts w:ascii="Arial" w:eastAsia="Times New Roman" w:hAnsi="Arial" w:cs="Arial"/>
                <w:color w:val="000000"/>
                <w:sz w:val="18"/>
                <w:szCs w:val="18"/>
                <w:lang w:val="fr-FR"/>
              </w:rPr>
            </w:pPr>
            <w:r>
              <w:rPr>
                <w:rFonts w:ascii="Calibri" w:hAnsi="Calibri" w:cs="Calibri"/>
                <w:color w:val="000000"/>
              </w:rPr>
              <w:t xml:space="preserve">Akr1c18 </w:t>
            </w:r>
            <w:r w:rsidRPr="00D50FDC">
              <w:rPr>
                <w:rFonts w:ascii="Arial" w:eastAsia="Times New Roman" w:hAnsi="Arial" w:cs="Arial"/>
                <w:color w:val="000000"/>
                <w:sz w:val="18"/>
                <w:szCs w:val="18"/>
                <w:lang w:val="fr-FR"/>
              </w:rPr>
              <w:fldChar w:fldCharType="begin"/>
            </w:r>
            <w:r w:rsidR="001C71BD">
              <w:rPr>
                <w:rFonts w:ascii="Arial" w:eastAsia="Times New Roman" w:hAnsi="Arial" w:cs="Arial"/>
                <w:color w:val="000000"/>
                <w:sz w:val="18"/>
                <w:szCs w:val="18"/>
                <w:lang w:val="fr-FR"/>
              </w:rPr>
              <w:instrText xml:space="preserve"> ADDIN ZOTERO_ITEM CSL_CITATION {"citationID":"5ygjYI9Y","properties":{"formattedCitation":"(45,53)","plainCitation":"(45,53)","noteIndex":0},"citationItems":[{"id":150,"uris":["http://zotero.org/users/local/Cg9l0yK5/items/4GXAZS6R"],"itemData":{"id":150,"type":"article-journal","abstract":"At the late 1940s, 17β-HSD1 was discovered as the first member of the 17β-HSD family with its gene cloned. The three-dimensional structure of human 17β-HSD1 is the first  example of any human steroid converting enzyme. The human enzyme's structure and  biological function have thus been studied extensively in the last two decades. In  humans, the enzyme is expressed in placenta, ovary, endometrium and breast. The high  activity of estrogen activation provides the basis of 17β-HSD1's implication in  estrogen-dependent diseases, such as breast cancer, endometriosis and non-small cell  lung carcinomas. Its dual function in estrogen activation and androgen inactivation  has been revealed in molecular and breast cancer cell levels, significantly  stimulating the proliferation of such cells. The enzyme's overexpression in breast  cancer was demonstrated by clinical samples. Inhibition of human 17β-HSD1 led to  xenograft tumor shrinkage. Unfortunately, through decades of studies, there is still  no drug using the enzyme's inhibitors available. This is due to the difficulty to  get rid of the estrogenic activity of its inhibitors, which are mostly estrogen  analogues. New non-steroid inhibitors for the enzyme provide new hope for  non-estrogenic inhibitors of the enzyme.","container-title":"Gene","DOI":"10.1016/j.gene.2016.04.031","ISSN":"1879-0038 0378-1119","issue":"1","journalAbbreviation":"Gene","language":"eng","license":"Copyright © 2016 Elsevier B.V. All rights reserved.","note":"PMID: 27102893 \nPMCID: PMC6649686","page":"54-61","title":"Current knowledge of the multifunctional 17β-hydroxysteroid dehydrogenase type 1 (HSD17B1).","volume":"588","author":[{"family":"He","given":"Wanhong"},{"family":"Gauri","given":"Misra"},{"family":"Li","given":"Tang"},{"family":"Wang","given":"Ruixuan"},{"family":"Lin","given":"Sheng-Xiang"}],"issued":{"date-parts":[["2016",8,15]]}}},{"id":261,"uris":["http://zotero.org/users/local/Cg9l0yK5/items/FT9AMPJ7"],"itemData":{"id":261,"type":"article-journal","abstract":"Towards the end of gestation prostaglandin F2α (PGF2α) stimulates the expression of Akr1c18 in the murine corpus luteum. Akr1c18 codes for 20α-hydroxysteroid  dehydrogenase, an enzyme that precipitates parturition by catabolizing progesterone.  Previous results from our laboratory have shown that this effect of PGF2α is  mediated by the activation of Gα(q/11), but the downstream effector(s) of Gα(q/11)  that elicit the increase in Akr1c18 expression have not been identified. The  physiological effects of Gα(q/11) are mediated by its ability to interact with  phospholipase Cβ, p63RhoGEF, and PKCζ. In the experiments described herein we used  biochemical and pharmacological approaches, as well as adenoviral-mediated  expression of a constitutively active form of Gα(q) and mutants thereof, to examine  the role of each of these effectors as potential mediators of the increased  expression of luteal Akr1c18. By measuring the effects of PGF2α on the activation of  RhoA (activated by p63RhoGEF) and the effects of activators and inhibitors of RhoA  on the PGF2α-induced expression of luteal Akr1c18, we determined that RhoA is  neither activated by PGF2α or involved in the PGF2α-induced expression of luteal  Akr1c18. The potential involvement of PKCζ was ruled out by the inability of a  mutant of a constitutively active Gα(q) that prevents PKCζ binding to block the  increased expression of Akr1c18. Furthermore, PGF2α does not increase the  phosphorylation of ERK-5, the only known downstream target of PKCζ. On the other  hand, three different mutants of a constitutively active Gα(q) that prevent  phospholipase C activation blocked the induction of luteal Akr1c18. We conclude that  the induction of luteal Akr1c18 by Gα(q/11) is mediated by the activation of  phospholipase C.","container-title":"Molecular and cellular endocrinology","DOI":"10.1016/j.mce.2017.10.012","ISSN":"1872-8057 0303-7207","journalAbbreviation":"Mol Cell Endocrinol","language":"eng","license":"Copyright © 2017 Elsevier B.V. All rights reserved.","note":"publisher-place: Ireland\nPMID: 29107092","page":"179-187","title":"The Gα(q/11)-provoked induction of Akr1c18 in murine luteal cells is mediated by phospholipase C.","volume":"470","author":[{"family":"Kapfhamer","given":"Joshua"},{"family":"Waite","given":"Courtney"},{"family":"Ascoli","given":"Mario"}],"issued":{"date-parts":[["2018",7,15]]}}}],"schema":"https://github.com/citation-style-language/schema/raw/master/csl-citation.json"} </w:instrText>
            </w:r>
            <w:r w:rsidRPr="00D50FDC">
              <w:rPr>
                <w:rFonts w:ascii="Arial" w:eastAsia="Times New Roman" w:hAnsi="Arial" w:cs="Arial"/>
                <w:color w:val="000000"/>
                <w:sz w:val="18"/>
                <w:szCs w:val="18"/>
                <w:lang w:val="fr-FR"/>
              </w:rPr>
              <w:fldChar w:fldCharType="separate"/>
            </w:r>
            <w:r w:rsidR="001C71BD" w:rsidRPr="001C71BD">
              <w:rPr>
                <w:rFonts w:ascii="Arial" w:hAnsi="Arial" w:cs="Arial"/>
                <w:sz w:val="18"/>
              </w:rPr>
              <w:t>(45,53)</w:t>
            </w:r>
            <w:r w:rsidRPr="00D50FDC">
              <w:rPr>
                <w:rFonts w:ascii="Arial" w:eastAsia="Times New Roman" w:hAnsi="Arial" w:cs="Arial"/>
                <w:color w:val="000000"/>
                <w:sz w:val="18"/>
                <w:szCs w:val="18"/>
                <w:lang w:val="fr-FR"/>
              </w:rPr>
              <w:fldChar w:fldCharType="end"/>
            </w:r>
          </w:p>
        </w:tc>
        <w:tc>
          <w:tcPr>
            <w:tcW w:w="480" w:type="pct"/>
            <w:shd w:val="clear" w:color="auto" w:fill="auto"/>
            <w:noWrap/>
            <w:vAlign w:val="bottom"/>
            <w:hideMark/>
          </w:tcPr>
          <w:p w14:paraId="7880D286" w14:textId="77777777" w:rsidR="00BF211E" w:rsidRPr="00FB108C" w:rsidRDefault="00BF211E" w:rsidP="00386B4F">
            <w:pPr>
              <w:spacing w:after="0" w:line="240" w:lineRule="auto"/>
              <w:jc w:val="right"/>
              <w:rPr>
                <w:rFonts w:ascii="Arial" w:eastAsia="Times New Roman" w:hAnsi="Arial" w:cs="Arial"/>
                <w:color w:val="000000"/>
                <w:sz w:val="18"/>
                <w:szCs w:val="18"/>
                <w:lang w:val="fr-FR"/>
              </w:rPr>
            </w:pPr>
            <w:r w:rsidRPr="00FB108C">
              <w:rPr>
                <w:rFonts w:ascii="Arial" w:hAnsi="Arial" w:cs="Arial"/>
                <w:color w:val="000000"/>
                <w:sz w:val="18"/>
                <w:szCs w:val="18"/>
              </w:rPr>
              <w:t>2.24</w:t>
            </w:r>
          </w:p>
        </w:tc>
      </w:tr>
      <w:tr w:rsidR="001C71BD" w:rsidRPr="0097360C" w14:paraId="40846908" w14:textId="77777777" w:rsidTr="00386B4F">
        <w:trPr>
          <w:trHeight w:val="290"/>
        </w:trPr>
        <w:tc>
          <w:tcPr>
            <w:tcW w:w="761" w:type="pct"/>
            <w:vAlign w:val="bottom"/>
          </w:tcPr>
          <w:p w14:paraId="45907377" w14:textId="77777777" w:rsidR="00BF211E" w:rsidRPr="0097360C" w:rsidRDefault="00BF211E" w:rsidP="00386B4F">
            <w:pPr>
              <w:spacing w:after="0" w:line="240" w:lineRule="auto"/>
              <w:rPr>
                <w:rFonts w:ascii="Arial" w:eastAsia="Times New Roman" w:hAnsi="Arial" w:cs="Arial"/>
                <w:color w:val="000000"/>
                <w:sz w:val="18"/>
                <w:szCs w:val="18"/>
                <w:lang w:val="fr-FR"/>
              </w:rPr>
            </w:pPr>
            <w:r>
              <w:rPr>
                <w:rFonts w:ascii="Calibri" w:hAnsi="Calibri" w:cs="Calibri"/>
                <w:color w:val="000000"/>
              </w:rPr>
              <w:t>Cdkn1a</w:t>
            </w:r>
          </w:p>
        </w:tc>
        <w:tc>
          <w:tcPr>
            <w:tcW w:w="521" w:type="pct"/>
            <w:shd w:val="clear" w:color="auto" w:fill="auto"/>
            <w:noWrap/>
            <w:vAlign w:val="bottom"/>
            <w:hideMark/>
          </w:tcPr>
          <w:p w14:paraId="51AA81FC" w14:textId="77777777" w:rsidR="00BF211E" w:rsidRPr="00FB108C" w:rsidRDefault="00BF211E" w:rsidP="00386B4F">
            <w:pPr>
              <w:spacing w:after="0" w:line="240" w:lineRule="auto"/>
              <w:jc w:val="right"/>
              <w:rPr>
                <w:rFonts w:ascii="Arial" w:eastAsia="Times New Roman" w:hAnsi="Arial" w:cs="Arial"/>
                <w:color w:val="000000"/>
                <w:sz w:val="18"/>
                <w:szCs w:val="18"/>
                <w:lang w:val="fr-FR"/>
              </w:rPr>
            </w:pPr>
            <w:r w:rsidRPr="00FB108C">
              <w:rPr>
                <w:rFonts w:ascii="Arial" w:hAnsi="Arial" w:cs="Arial"/>
                <w:color w:val="000000"/>
                <w:sz w:val="18"/>
                <w:szCs w:val="18"/>
              </w:rPr>
              <w:t>2.14</w:t>
            </w:r>
          </w:p>
        </w:tc>
        <w:tc>
          <w:tcPr>
            <w:tcW w:w="653" w:type="pct"/>
            <w:vAlign w:val="bottom"/>
          </w:tcPr>
          <w:p w14:paraId="1549791D" w14:textId="77777777" w:rsidR="00BF211E" w:rsidRPr="008565AB" w:rsidRDefault="00BF211E" w:rsidP="00386B4F">
            <w:pPr>
              <w:spacing w:after="0" w:line="240" w:lineRule="auto"/>
              <w:rPr>
                <w:rFonts w:ascii="Arial" w:eastAsia="Times New Roman" w:hAnsi="Arial" w:cs="Arial"/>
                <w:color w:val="000000"/>
                <w:sz w:val="18"/>
                <w:szCs w:val="18"/>
                <w:lang w:val="fr-FR"/>
              </w:rPr>
            </w:pPr>
            <w:r w:rsidRPr="008565AB">
              <w:rPr>
                <w:rFonts w:ascii="Arial" w:hAnsi="Arial" w:cs="Arial"/>
                <w:color w:val="000000"/>
                <w:sz w:val="18"/>
                <w:szCs w:val="18"/>
              </w:rPr>
              <w:t>Gm42669</w:t>
            </w:r>
          </w:p>
        </w:tc>
        <w:tc>
          <w:tcPr>
            <w:tcW w:w="599" w:type="pct"/>
            <w:shd w:val="clear" w:color="auto" w:fill="auto"/>
            <w:noWrap/>
            <w:vAlign w:val="bottom"/>
            <w:hideMark/>
          </w:tcPr>
          <w:p w14:paraId="3EB81BD6" w14:textId="77777777" w:rsidR="00BF211E" w:rsidRPr="008565AB" w:rsidRDefault="00BF211E" w:rsidP="00386B4F">
            <w:pPr>
              <w:spacing w:after="0" w:line="240" w:lineRule="auto"/>
              <w:jc w:val="right"/>
              <w:rPr>
                <w:rFonts w:ascii="Arial" w:eastAsia="Times New Roman" w:hAnsi="Arial" w:cs="Arial"/>
                <w:color w:val="000000"/>
                <w:sz w:val="18"/>
                <w:szCs w:val="18"/>
                <w:lang w:val="fr-FR"/>
              </w:rPr>
            </w:pPr>
            <w:r w:rsidRPr="008565AB">
              <w:rPr>
                <w:rFonts w:ascii="Arial" w:hAnsi="Arial" w:cs="Arial"/>
                <w:color w:val="000000"/>
                <w:sz w:val="18"/>
                <w:szCs w:val="18"/>
              </w:rPr>
              <w:t>1.75</w:t>
            </w:r>
          </w:p>
        </w:tc>
        <w:tc>
          <w:tcPr>
            <w:tcW w:w="747" w:type="pct"/>
            <w:shd w:val="clear" w:color="auto" w:fill="auto"/>
            <w:noWrap/>
            <w:vAlign w:val="bottom"/>
            <w:hideMark/>
          </w:tcPr>
          <w:p w14:paraId="3810B377" w14:textId="49D6F981" w:rsidR="00BF211E" w:rsidRPr="0097360C" w:rsidRDefault="00BF211E" w:rsidP="00386B4F">
            <w:pPr>
              <w:spacing w:after="0" w:line="240" w:lineRule="auto"/>
              <w:rPr>
                <w:rFonts w:ascii="Arial" w:eastAsia="Times New Roman" w:hAnsi="Arial" w:cs="Arial"/>
                <w:color w:val="000000"/>
                <w:sz w:val="18"/>
                <w:szCs w:val="18"/>
                <w:lang w:val="fr-FR"/>
              </w:rPr>
            </w:pPr>
            <w:r w:rsidRPr="0097360C">
              <w:rPr>
                <w:rFonts w:ascii="Arial" w:eastAsia="Times New Roman" w:hAnsi="Arial" w:cs="Arial"/>
                <w:color w:val="000000"/>
                <w:sz w:val="18"/>
                <w:szCs w:val="18"/>
                <w:lang w:val="fr-FR"/>
              </w:rPr>
              <w:t xml:space="preserve">Cdca8 </w:t>
            </w:r>
            <w:r w:rsidRPr="00D50FDC">
              <w:rPr>
                <w:rFonts w:ascii="Arial" w:eastAsia="Times New Roman" w:hAnsi="Arial" w:cs="Arial"/>
                <w:color w:val="000000"/>
                <w:sz w:val="18"/>
                <w:szCs w:val="18"/>
                <w:lang w:val="fr-FR"/>
              </w:rPr>
              <w:fldChar w:fldCharType="begin"/>
            </w:r>
            <w:r w:rsidR="001C71BD">
              <w:rPr>
                <w:rFonts w:ascii="Arial" w:eastAsia="Times New Roman" w:hAnsi="Arial" w:cs="Arial"/>
                <w:color w:val="000000"/>
                <w:sz w:val="18"/>
                <w:szCs w:val="18"/>
                <w:lang w:val="fr-FR"/>
              </w:rPr>
              <w:instrText xml:space="preserve"> ADDIN ZOTERO_ITEM CSL_CITATION {"citationID":"bZNkxSGC","properties":{"formattedCitation":"(28)","plainCitation":"(28)","noteIndex":0},"citationItems":[{"id":291,"uris":["http://zotero.org/users/local/Cg9l0yK5/items/A7ADMUXF"],"itemData":{"id":291,"type":"article-journal","abstract":"The chromosomal passenger complex of Aurora B kinase, INCENP, and Survivin has essential regulatory roles at centromeres and the central spindle in mitosis. Here,  we describe Borealin, a novel member of the complex. Approximately half of Aurora B  in mitotic cells is complexed with INCENP, Borealin, and Survivin; and Borealin  binds Survivin and INCENP in vitro. A second complex contains Aurora B and INCENP,  but no Borealin or Survivin. Depletion of Borealin by RNA interference delays  mitotic progression and results in kinetochore-spindle misattachments and an  increase in bipolar spindles associated with ectopic asters. The extra poles, which  apparently form after chromosomes achieve a bipolar orientation, severely disrupt  the partitioning of chromosomes in anaphase. Borealin depletion has little effect on  histone H3 serine10 phosphorylation. These results implicate the chromosomal  passenger holocomplex in the maintenance of spindle integrity and suggest that  histone H3 serine10 phosphorylation is performed by an Aurora B-INCENP subcomplex.","container-title":"The Journal of cell biology","DOI":"10.1083/jcb.200404001","ISSN":"0021-9525 1540-8140","issue":"2","journalAbbreviation":"J Cell Biol","language":"eng","license":"Copyright The Rockerfeller University Press","note":"PMID: 15249581 \nPMCID: PMC2172304","page":"179-191","title":"Borealin: a novel chromosomal passenger required for stability of the bipolar mitotic spindle.","volume":"166","author":[{"family":"Gassmann","given":"Reto"},{"family":"Carvalho","given":"Ana"},{"family":"Henzing","given":"Alexander J."},{"family":"Ruchaud","given":"Sandrine"},{"family":"Hudson","given":"Damien F."},{"family":"Honda","given":"Reiko"},{"family":"Nigg","given":"Erich A."},{"family":"Gerloff","given":"Dietlind L."},{"family":"Earnshaw","given":"William C."}],"issued":{"date-parts":[["2004",7,19]]}}}],"schema":"https://github.com/citation-style-language/schema/raw/master/csl-citation.json"} </w:instrText>
            </w:r>
            <w:r w:rsidRPr="00D50FDC">
              <w:rPr>
                <w:rFonts w:ascii="Arial" w:eastAsia="Times New Roman" w:hAnsi="Arial" w:cs="Arial"/>
                <w:color w:val="000000"/>
                <w:sz w:val="18"/>
                <w:szCs w:val="18"/>
                <w:lang w:val="fr-FR"/>
              </w:rPr>
              <w:fldChar w:fldCharType="separate"/>
            </w:r>
            <w:r w:rsidR="001C71BD" w:rsidRPr="001C71BD">
              <w:rPr>
                <w:rFonts w:ascii="Arial" w:hAnsi="Arial" w:cs="Arial"/>
                <w:sz w:val="18"/>
              </w:rPr>
              <w:t>(28)</w:t>
            </w:r>
            <w:r w:rsidRPr="00D50FDC">
              <w:rPr>
                <w:rFonts w:ascii="Arial" w:eastAsia="Times New Roman" w:hAnsi="Arial" w:cs="Arial"/>
                <w:color w:val="000000"/>
                <w:sz w:val="18"/>
                <w:szCs w:val="18"/>
                <w:lang w:val="fr-FR"/>
              </w:rPr>
              <w:fldChar w:fldCharType="end"/>
            </w:r>
          </w:p>
        </w:tc>
        <w:tc>
          <w:tcPr>
            <w:tcW w:w="488" w:type="pct"/>
            <w:shd w:val="clear" w:color="auto" w:fill="auto"/>
            <w:noWrap/>
            <w:vAlign w:val="bottom"/>
            <w:hideMark/>
          </w:tcPr>
          <w:p w14:paraId="73C1A415" w14:textId="77777777" w:rsidR="00BF211E" w:rsidRPr="0097360C" w:rsidRDefault="00BF211E" w:rsidP="00386B4F">
            <w:pPr>
              <w:spacing w:after="0" w:line="240" w:lineRule="auto"/>
              <w:jc w:val="right"/>
              <w:rPr>
                <w:rFonts w:ascii="Arial" w:eastAsia="Times New Roman" w:hAnsi="Arial" w:cs="Arial"/>
                <w:color w:val="000000"/>
                <w:sz w:val="18"/>
                <w:szCs w:val="18"/>
                <w:lang w:val="fr-FR"/>
              </w:rPr>
            </w:pPr>
            <w:r w:rsidRPr="00A60B9C">
              <w:rPr>
                <w:rFonts w:ascii="Arial" w:hAnsi="Arial" w:cs="Arial"/>
                <w:color w:val="000000"/>
                <w:sz w:val="18"/>
                <w:szCs w:val="18"/>
              </w:rPr>
              <w:t>1.59</w:t>
            </w:r>
          </w:p>
        </w:tc>
        <w:tc>
          <w:tcPr>
            <w:tcW w:w="750" w:type="pct"/>
            <w:vAlign w:val="bottom"/>
          </w:tcPr>
          <w:p w14:paraId="66C0C13F" w14:textId="77777777" w:rsidR="00BF211E" w:rsidRPr="0097360C" w:rsidRDefault="00BF211E" w:rsidP="00386B4F">
            <w:pPr>
              <w:spacing w:after="0" w:line="240" w:lineRule="auto"/>
              <w:rPr>
                <w:rFonts w:ascii="Arial" w:eastAsia="Times New Roman" w:hAnsi="Arial" w:cs="Arial"/>
                <w:color w:val="000000"/>
                <w:sz w:val="18"/>
                <w:szCs w:val="18"/>
                <w:lang w:val="fr-FR"/>
              </w:rPr>
            </w:pPr>
            <w:r>
              <w:rPr>
                <w:rFonts w:ascii="Calibri" w:hAnsi="Calibri" w:cs="Calibri"/>
                <w:color w:val="000000"/>
              </w:rPr>
              <w:t>Sgk1</w:t>
            </w:r>
          </w:p>
        </w:tc>
        <w:tc>
          <w:tcPr>
            <w:tcW w:w="480" w:type="pct"/>
            <w:shd w:val="clear" w:color="auto" w:fill="auto"/>
            <w:noWrap/>
            <w:vAlign w:val="bottom"/>
            <w:hideMark/>
          </w:tcPr>
          <w:p w14:paraId="0BC28567" w14:textId="77777777" w:rsidR="00BF211E" w:rsidRPr="00FB108C" w:rsidRDefault="00BF211E" w:rsidP="00386B4F">
            <w:pPr>
              <w:spacing w:after="0" w:line="240" w:lineRule="auto"/>
              <w:jc w:val="right"/>
              <w:rPr>
                <w:rFonts w:ascii="Arial" w:eastAsia="Times New Roman" w:hAnsi="Arial" w:cs="Arial"/>
                <w:color w:val="000000"/>
                <w:sz w:val="18"/>
                <w:szCs w:val="18"/>
                <w:lang w:val="fr-FR"/>
              </w:rPr>
            </w:pPr>
            <w:r w:rsidRPr="00FB108C">
              <w:rPr>
                <w:rFonts w:ascii="Arial" w:hAnsi="Arial" w:cs="Arial"/>
                <w:color w:val="000000"/>
                <w:sz w:val="18"/>
                <w:szCs w:val="18"/>
              </w:rPr>
              <w:t>2.21</w:t>
            </w:r>
          </w:p>
        </w:tc>
      </w:tr>
    </w:tbl>
    <w:p w14:paraId="430F2CEF" w14:textId="3ED99890" w:rsidR="00680B32" w:rsidRDefault="00680B32"/>
    <w:p w14:paraId="3CBEB4B0" w14:textId="7B269EBF" w:rsidR="001C71BD" w:rsidRDefault="001C71BD"/>
    <w:p w14:paraId="52785365" w14:textId="77777777" w:rsidR="001C71BD" w:rsidRDefault="001C71BD" w:rsidP="001C71BD">
      <w:pPr>
        <w:pStyle w:val="Bibliography"/>
      </w:pPr>
    </w:p>
    <w:p w14:paraId="36E0B9C1" w14:textId="77777777" w:rsidR="001C71BD" w:rsidRDefault="001C71BD" w:rsidP="001C71BD">
      <w:pPr>
        <w:pStyle w:val="Bibliography"/>
      </w:pPr>
      <w:r>
        <w:lastRenderedPageBreak/>
        <w:t>Bibliography</w:t>
      </w:r>
      <w:r>
        <w:br/>
      </w:r>
    </w:p>
    <w:p w14:paraId="77B27796" w14:textId="2C25880A" w:rsidR="001C71BD" w:rsidRPr="001C71BD" w:rsidRDefault="001C71BD" w:rsidP="001C71BD">
      <w:pPr>
        <w:pStyle w:val="Bibliography"/>
        <w:rPr>
          <w:rFonts w:ascii="Calibri" w:hAnsi="Calibri" w:cs="Calibri"/>
          <w:lang w:val="fr-FR"/>
        </w:rPr>
      </w:pPr>
      <w:r>
        <w:fldChar w:fldCharType="begin"/>
      </w:r>
      <w:r>
        <w:instrText xml:space="preserve"> ADDIN ZOTERO_BIBL {"uncited":[],"omitted":[],"custom":[]} CSL_BIBLIOGRAPHY </w:instrText>
      </w:r>
      <w:r>
        <w:fldChar w:fldCharType="separate"/>
      </w:r>
      <w:r w:rsidRPr="001C71BD">
        <w:rPr>
          <w:rFonts w:ascii="Calibri" w:hAnsi="Calibri" w:cs="Calibri"/>
        </w:rPr>
        <w:t xml:space="preserve">1. </w:t>
      </w:r>
      <w:r w:rsidRPr="001C71BD">
        <w:rPr>
          <w:rFonts w:ascii="Calibri" w:hAnsi="Calibri" w:cs="Calibri"/>
        </w:rPr>
        <w:tab/>
        <w:t xml:space="preserve">Fan X, </w:t>
      </w:r>
      <w:proofErr w:type="spellStart"/>
      <w:r w:rsidRPr="001C71BD">
        <w:rPr>
          <w:rFonts w:ascii="Calibri" w:hAnsi="Calibri" w:cs="Calibri"/>
        </w:rPr>
        <w:t>Bialecka</w:t>
      </w:r>
      <w:proofErr w:type="spellEnd"/>
      <w:r w:rsidRPr="001C71BD">
        <w:rPr>
          <w:rFonts w:ascii="Calibri" w:hAnsi="Calibri" w:cs="Calibri"/>
        </w:rPr>
        <w:t xml:space="preserve"> M, Moustakas I, Lam E, Torrens-</w:t>
      </w:r>
      <w:proofErr w:type="spellStart"/>
      <w:r w:rsidRPr="001C71BD">
        <w:rPr>
          <w:rFonts w:ascii="Calibri" w:hAnsi="Calibri" w:cs="Calibri"/>
        </w:rPr>
        <w:t>Juaneda</w:t>
      </w:r>
      <w:proofErr w:type="spellEnd"/>
      <w:r w:rsidRPr="001C71BD">
        <w:rPr>
          <w:rFonts w:ascii="Calibri" w:hAnsi="Calibri" w:cs="Calibri"/>
        </w:rPr>
        <w:t xml:space="preserve"> V, </w:t>
      </w:r>
      <w:proofErr w:type="spellStart"/>
      <w:r w:rsidRPr="001C71BD">
        <w:rPr>
          <w:rFonts w:ascii="Calibri" w:hAnsi="Calibri" w:cs="Calibri"/>
        </w:rPr>
        <w:t>Borggreven</w:t>
      </w:r>
      <w:proofErr w:type="spellEnd"/>
      <w:r w:rsidRPr="001C71BD">
        <w:rPr>
          <w:rFonts w:ascii="Calibri" w:hAnsi="Calibri" w:cs="Calibri"/>
        </w:rPr>
        <w:t xml:space="preserve"> NV, </w:t>
      </w:r>
      <w:proofErr w:type="spellStart"/>
      <w:r w:rsidRPr="001C71BD">
        <w:rPr>
          <w:rFonts w:ascii="Calibri" w:hAnsi="Calibri" w:cs="Calibri"/>
        </w:rPr>
        <w:t>Trouw</w:t>
      </w:r>
      <w:proofErr w:type="spellEnd"/>
      <w:r w:rsidRPr="001C71BD">
        <w:rPr>
          <w:rFonts w:ascii="Calibri" w:hAnsi="Calibri" w:cs="Calibri"/>
        </w:rPr>
        <w:t xml:space="preserve"> L, </w:t>
      </w:r>
      <w:proofErr w:type="spellStart"/>
      <w:r w:rsidRPr="001C71BD">
        <w:rPr>
          <w:rFonts w:ascii="Calibri" w:hAnsi="Calibri" w:cs="Calibri"/>
        </w:rPr>
        <w:t>Louwe</w:t>
      </w:r>
      <w:proofErr w:type="spellEnd"/>
      <w:r w:rsidRPr="001C71BD">
        <w:rPr>
          <w:rFonts w:ascii="Calibri" w:hAnsi="Calibri" w:cs="Calibri"/>
        </w:rPr>
        <w:t xml:space="preserve"> LA, </w:t>
      </w:r>
      <w:proofErr w:type="spellStart"/>
      <w:r w:rsidRPr="001C71BD">
        <w:rPr>
          <w:rFonts w:ascii="Calibri" w:hAnsi="Calibri" w:cs="Calibri"/>
        </w:rPr>
        <w:t>Pilgram</w:t>
      </w:r>
      <w:proofErr w:type="spellEnd"/>
      <w:r w:rsidRPr="001C71BD">
        <w:rPr>
          <w:rFonts w:ascii="Calibri" w:hAnsi="Calibri" w:cs="Calibri"/>
        </w:rPr>
        <w:t xml:space="preserve"> GSK, Mei H, van der </w:t>
      </w:r>
      <w:proofErr w:type="spellStart"/>
      <w:r w:rsidRPr="001C71BD">
        <w:rPr>
          <w:rFonts w:ascii="Calibri" w:hAnsi="Calibri" w:cs="Calibri"/>
        </w:rPr>
        <w:t>Westerlaken</w:t>
      </w:r>
      <w:proofErr w:type="spellEnd"/>
      <w:r w:rsidRPr="001C71BD">
        <w:rPr>
          <w:rFonts w:ascii="Calibri" w:hAnsi="Calibri" w:cs="Calibri"/>
        </w:rPr>
        <w:t xml:space="preserve"> L, </w:t>
      </w:r>
      <w:proofErr w:type="spellStart"/>
      <w:r w:rsidRPr="001C71BD">
        <w:rPr>
          <w:rFonts w:ascii="Calibri" w:hAnsi="Calibri" w:cs="Calibri"/>
        </w:rPr>
        <w:t>Chuva</w:t>
      </w:r>
      <w:proofErr w:type="spellEnd"/>
      <w:r w:rsidRPr="001C71BD">
        <w:rPr>
          <w:rFonts w:ascii="Calibri" w:hAnsi="Calibri" w:cs="Calibri"/>
        </w:rPr>
        <w:t xml:space="preserve"> de Sousa Lopes SM. Single-cell reconstruction of follicular remodeling in the human adult ovary. </w:t>
      </w:r>
      <w:r w:rsidRPr="001C71BD">
        <w:rPr>
          <w:rFonts w:ascii="Calibri" w:hAnsi="Calibri" w:cs="Calibri"/>
          <w:i/>
          <w:iCs/>
          <w:lang w:val="fr-FR"/>
        </w:rPr>
        <w:t>Nat Commun</w:t>
      </w:r>
      <w:r w:rsidRPr="001C71BD">
        <w:rPr>
          <w:rFonts w:ascii="Calibri" w:hAnsi="Calibri" w:cs="Calibri"/>
          <w:lang w:val="fr-FR"/>
        </w:rPr>
        <w:t xml:space="preserve"> </w:t>
      </w:r>
      <w:proofErr w:type="gramStart"/>
      <w:r w:rsidRPr="001C71BD">
        <w:rPr>
          <w:rFonts w:ascii="Calibri" w:hAnsi="Calibri" w:cs="Calibri"/>
          <w:lang w:val="fr-FR"/>
        </w:rPr>
        <w:t>2019;</w:t>
      </w:r>
      <w:proofErr w:type="gramEnd"/>
      <w:r w:rsidRPr="001C71BD">
        <w:rPr>
          <w:rFonts w:ascii="Calibri" w:hAnsi="Calibri" w:cs="Calibri"/>
          <w:lang w:val="fr-FR"/>
        </w:rPr>
        <w:t>10(1):3164.</w:t>
      </w:r>
    </w:p>
    <w:p w14:paraId="14A2AEBB" w14:textId="77777777" w:rsidR="001C71BD" w:rsidRPr="001C71BD" w:rsidRDefault="001C71BD" w:rsidP="001C71BD">
      <w:pPr>
        <w:pStyle w:val="Bibliography"/>
        <w:rPr>
          <w:rFonts w:ascii="Calibri" w:hAnsi="Calibri" w:cs="Calibri"/>
        </w:rPr>
      </w:pPr>
      <w:r w:rsidRPr="001C71BD">
        <w:rPr>
          <w:rFonts w:ascii="Calibri" w:hAnsi="Calibri" w:cs="Calibri"/>
          <w:lang w:val="fr-FR"/>
        </w:rPr>
        <w:t xml:space="preserve">2. </w:t>
      </w:r>
      <w:r w:rsidRPr="001C71BD">
        <w:rPr>
          <w:rFonts w:ascii="Calibri" w:hAnsi="Calibri" w:cs="Calibri"/>
          <w:lang w:val="fr-FR"/>
        </w:rPr>
        <w:tab/>
        <w:t xml:space="preserve">Chen AQ, Wang ZG, Xu ZR, Yu SD, Yang ZG. </w:t>
      </w:r>
      <w:r w:rsidRPr="001C71BD">
        <w:rPr>
          <w:rFonts w:ascii="Calibri" w:hAnsi="Calibri" w:cs="Calibri"/>
        </w:rPr>
        <w:t xml:space="preserve">Analysis of gene expression in granulosa cells of ovine antral growing follicles using suppressive subtractive hybridization. </w:t>
      </w:r>
      <w:proofErr w:type="spellStart"/>
      <w:r w:rsidRPr="001C71BD">
        <w:rPr>
          <w:rFonts w:ascii="Calibri" w:hAnsi="Calibri" w:cs="Calibri"/>
          <w:i/>
          <w:iCs/>
        </w:rPr>
        <w:t>Anim</w:t>
      </w:r>
      <w:proofErr w:type="spellEnd"/>
      <w:r w:rsidRPr="001C71BD">
        <w:rPr>
          <w:rFonts w:ascii="Calibri" w:hAnsi="Calibri" w:cs="Calibri"/>
          <w:i/>
          <w:iCs/>
        </w:rPr>
        <w:t xml:space="preserve"> </w:t>
      </w:r>
      <w:proofErr w:type="spellStart"/>
      <w:r w:rsidRPr="001C71BD">
        <w:rPr>
          <w:rFonts w:ascii="Calibri" w:hAnsi="Calibri" w:cs="Calibri"/>
          <w:i/>
          <w:iCs/>
        </w:rPr>
        <w:t>Reprod</w:t>
      </w:r>
      <w:proofErr w:type="spellEnd"/>
      <w:r w:rsidRPr="001C71BD">
        <w:rPr>
          <w:rFonts w:ascii="Calibri" w:hAnsi="Calibri" w:cs="Calibri"/>
          <w:i/>
          <w:iCs/>
        </w:rPr>
        <w:t xml:space="preserve"> Sci</w:t>
      </w:r>
      <w:r w:rsidRPr="001C71BD">
        <w:rPr>
          <w:rFonts w:ascii="Calibri" w:hAnsi="Calibri" w:cs="Calibri"/>
        </w:rPr>
        <w:t xml:space="preserve"> 2009;115(1–4):39–48.</w:t>
      </w:r>
    </w:p>
    <w:p w14:paraId="4015EB83" w14:textId="77777777" w:rsidR="001C71BD" w:rsidRPr="001C71BD" w:rsidRDefault="001C71BD" w:rsidP="001C71BD">
      <w:pPr>
        <w:pStyle w:val="Bibliography"/>
        <w:rPr>
          <w:rFonts w:ascii="Calibri" w:hAnsi="Calibri" w:cs="Calibri"/>
        </w:rPr>
      </w:pPr>
      <w:r w:rsidRPr="001C71BD">
        <w:rPr>
          <w:rFonts w:ascii="Calibri" w:hAnsi="Calibri" w:cs="Calibri"/>
        </w:rPr>
        <w:t xml:space="preserve">3. </w:t>
      </w:r>
      <w:r w:rsidRPr="001C71BD">
        <w:rPr>
          <w:rFonts w:ascii="Calibri" w:hAnsi="Calibri" w:cs="Calibri"/>
        </w:rPr>
        <w:tab/>
        <w:t xml:space="preserve">Wigglesworth K, Lee K-B, </w:t>
      </w:r>
      <w:proofErr w:type="spellStart"/>
      <w:r w:rsidRPr="001C71BD">
        <w:rPr>
          <w:rFonts w:ascii="Calibri" w:hAnsi="Calibri" w:cs="Calibri"/>
        </w:rPr>
        <w:t>Emori</w:t>
      </w:r>
      <w:proofErr w:type="spellEnd"/>
      <w:r w:rsidRPr="001C71BD">
        <w:rPr>
          <w:rFonts w:ascii="Calibri" w:hAnsi="Calibri" w:cs="Calibri"/>
        </w:rPr>
        <w:t xml:space="preserve"> C, </w:t>
      </w:r>
      <w:proofErr w:type="spellStart"/>
      <w:r w:rsidRPr="001C71BD">
        <w:rPr>
          <w:rFonts w:ascii="Calibri" w:hAnsi="Calibri" w:cs="Calibri"/>
        </w:rPr>
        <w:t>Sugiura</w:t>
      </w:r>
      <w:proofErr w:type="spellEnd"/>
      <w:r w:rsidRPr="001C71BD">
        <w:rPr>
          <w:rFonts w:ascii="Calibri" w:hAnsi="Calibri" w:cs="Calibri"/>
        </w:rPr>
        <w:t xml:space="preserve"> K, </w:t>
      </w:r>
      <w:proofErr w:type="spellStart"/>
      <w:r w:rsidRPr="001C71BD">
        <w:rPr>
          <w:rFonts w:ascii="Calibri" w:hAnsi="Calibri" w:cs="Calibri"/>
        </w:rPr>
        <w:t>Eppig</w:t>
      </w:r>
      <w:proofErr w:type="spellEnd"/>
      <w:r w:rsidRPr="001C71BD">
        <w:rPr>
          <w:rFonts w:ascii="Calibri" w:hAnsi="Calibri" w:cs="Calibri"/>
        </w:rPr>
        <w:t xml:space="preserve"> JJ. Transcriptomic diversification of developing cumulus and mural granulosa cells in mouse ovarian follicles. </w:t>
      </w:r>
      <w:r w:rsidRPr="001C71BD">
        <w:rPr>
          <w:rFonts w:ascii="Calibri" w:hAnsi="Calibri" w:cs="Calibri"/>
          <w:i/>
          <w:iCs/>
        </w:rPr>
        <w:t xml:space="preserve">Biol </w:t>
      </w:r>
      <w:proofErr w:type="spellStart"/>
      <w:r w:rsidRPr="001C71BD">
        <w:rPr>
          <w:rFonts w:ascii="Calibri" w:hAnsi="Calibri" w:cs="Calibri"/>
          <w:i/>
          <w:iCs/>
        </w:rPr>
        <w:t>Reprod</w:t>
      </w:r>
      <w:proofErr w:type="spellEnd"/>
      <w:r w:rsidRPr="001C71BD">
        <w:rPr>
          <w:rFonts w:ascii="Calibri" w:hAnsi="Calibri" w:cs="Calibri"/>
        </w:rPr>
        <w:t xml:space="preserve"> 2015;92(1):23.</w:t>
      </w:r>
    </w:p>
    <w:p w14:paraId="23F8E78B" w14:textId="77777777" w:rsidR="001C71BD" w:rsidRPr="001C71BD" w:rsidRDefault="001C71BD" w:rsidP="001C71BD">
      <w:pPr>
        <w:pStyle w:val="Bibliography"/>
        <w:rPr>
          <w:rFonts w:ascii="Calibri" w:hAnsi="Calibri" w:cs="Calibri"/>
        </w:rPr>
      </w:pPr>
      <w:r w:rsidRPr="001C71BD">
        <w:rPr>
          <w:rFonts w:ascii="Calibri" w:hAnsi="Calibri" w:cs="Calibri"/>
        </w:rPr>
        <w:t xml:space="preserve">4. </w:t>
      </w:r>
      <w:r w:rsidRPr="001C71BD">
        <w:rPr>
          <w:rFonts w:ascii="Calibri" w:hAnsi="Calibri" w:cs="Calibri"/>
        </w:rPr>
        <w:tab/>
        <w:t xml:space="preserve">Lee JH, Berger JM. Cell Cycle-Dependent Control and Roles of DNA Topoisomerase II. </w:t>
      </w:r>
      <w:r w:rsidRPr="001C71BD">
        <w:rPr>
          <w:rFonts w:ascii="Calibri" w:hAnsi="Calibri" w:cs="Calibri"/>
          <w:i/>
          <w:iCs/>
        </w:rPr>
        <w:t>Genes (Basel)</w:t>
      </w:r>
      <w:r w:rsidRPr="001C71BD">
        <w:rPr>
          <w:rFonts w:ascii="Calibri" w:hAnsi="Calibri" w:cs="Calibri"/>
        </w:rPr>
        <w:t xml:space="preserve"> 2019;10(11). doi:10.3390/genes10110859.</w:t>
      </w:r>
    </w:p>
    <w:p w14:paraId="1ED78901" w14:textId="77777777" w:rsidR="001C71BD" w:rsidRPr="001C71BD" w:rsidRDefault="001C71BD" w:rsidP="001C71BD">
      <w:pPr>
        <w:pStyle w:val="Bibliography"/>
        <w:rPr>
          <w:rFonts w:ascii="Calibri" w:hAnsi="Calibri" w:cs="Calibri"/>
        </w:rPr>
      </w:pPr>
      <w:r w:rsidRPr="001C71BD">
        <w:rPr>
          <w:rFonts w:ascii="Calibri" w:hAnsi="Calibri" w:cs="Calibri"/>
        </w:rPr>
        <w:t xml:space="preserve">5. </w:t>
      </w:r>
      <w:r w:rsidRPr="001C71BD">
        <w:rPr>
          <w:rFonts w:ascii="Calibri" w:hAnsi="Calibri" w:cs="Calibri"/>
        </w:rPr>
        <w:tab/>
        <w:t xml:space="preserve">Meinsohn M-C, </w:t>
      </w:r>
      <w:proofErr w:type="spellStart"/>
      <w:r w:rsidRPr="001C71BD">
        <w:rPr>
          <w:rFonts w:ascii="Calibri" w:hAnsi="Calibri" w:cs="Calibri"/>
        </w:rPr>
        <w:t>Saatcioglu</w:t>
      </w:r>
      <w:proofErr w:type="spellEnd"/>
      <w:r w:rsidRPr="001C71BD">
        <w:rPr>
          <w:rFonts w:ascii="Calibri" w:hAnsi="Calibri" w:cs="Calibri"/>
        </w:rPr>
        <w:t xml:space="preserve"> HD, Wei L, Li Y, Horn H, Chauvin M, Kano M, Nguyen NMP, </w:t>
      </w:r>
      <w:proofErr w:type="spellStart"/>
      <w:r w:rsidRPr="001C71BD">
        <w:rPr>
          <w:rFonts w:ascii="Calibri" w:hAnsi="Calibri" w:cs="Calibri"/>
        </w:rPr>
        <w:t>Nagykery</w:t>
      </w:r>
      <w:proofErr w:type="spellEnd"/>
      <w:r w:rsidRPr="001C71BD">
        <w:rPr>
          <w:rFonts w:ascii="Calibri" w:hAnsi="Calibri" w:cs="Calibri"/>
        </w:rPr>
        <w:t xml:space="preserve"> N, </w:t>
      </w:r>
      <w:proofErr w:type="spellStart"/>
      <w:r w:rsidRPr="001C71BD">
        <w:rPr>
          <w:rFonts w:ascii="Calibri" w:hAnsi="Calibri" w:cs="Calibri"/>
        </w:rPr>
        <w:t>Kashiwagi</w:t>
      </w:r>
      <w:proofErr w:type="spellEnd"/>
      <w:r w:rsidRPr="001C71BD">
        <w:rPr>
          <w:rFonts w:ascii="Calibri" w:hAnsi="Calibri" w:cs="Calibri"/>
        </w:rPr>
        <w:t xml:space="preserve"> A, </w:t>
      </w:r>
      <w:proofErr w:type="spellStart"/>
      <w:r w:rsidRPr="001C71BD">
        <w:rPr>
          <w:rFonts w:ascii="Calibri" w:hAnsi="Calibri" w:cs="Calibri"/>
        </w:rPr>
        <w:t>Samore</w:t>
      </w:r>
      <w:proofErr w:type="spellEnd"/>
      <w:r w:rsidRPr="001C71BD">
        <w:rPr>
          <w:rFonts w:ascii="Calibri" w:hAnsi="Calibri" w:cs="Calibri"/>
        </w:rPr>
        <w:t xml:space="preserve"> WR, Wang D, Oliva E, Gao G, Morris ME, Donahoe PK, Pépin D. Single-cell sequencing reveals suppressive transcriptional programs regulated by MIS/AMH in neonatal ovaries. </w:t>
      </w:r>
      <w:r w:rsidRPr="001C71BD">
        <w:rPr>
          <w:rFonts w:ascii="Calibri" w:hAnsi="Calibri" w:cs="Calibri"/>
          <w:i/>
          <w:iCs/>
        </w:rPr>
        <w:t xml:space="preserve">Proc Natl </w:t>
      </w:r>
      <w:proofErr w:type="spellStart"/>
      <w:r w:rsidRPr="001C71BD">
        <w:rPr>
          <w:rFonts w:ascii="Calibri" w:hAnsi="Calibri" w:cs="Calibri"/>
          <w:i/>
          <w:iCs/>
        </w:rPr>
        <w:t>Acad</w:t>
      </w:r>
      <w:proofErr w:type="spellEnd"/>
      <w:r w:rsidRPr="001C71BD">
        <w:rPr>
          <w:rFonts w:ascii="Calibri" w:hAnsi="Calibri" w:cs="Calibri"/>
          <w:i/>
          <w:iCs/>
        </w:rPr>
        <w:t xml:space="preserve"> Sci U S A</w:t>
      </w:r>
      <w:r w:rsidRPr="001C71BD">
        <w:rPr>
          <w:rFonts w:ascii="Calibri" w:hAnsi="Calibri" w:cs="Calibri"/>
        </w:rPr>
        <w:t xml:space="preserve"> 2021;118(20). doi:10.1073/pnas.2100920118.</w:t>
      </w:r>
    </w:p>
    <w:p w14:paraId="4DAFA61B" w14:textId="77777777" w:rsidR="001C71BD" w:rsidRPr="001C71BD" w:rsidRDefault="001C71BD" w:rsidP="001C71BD">
      <w:pPr>
        <w:pStyle w:val="Bibliography"/>
        <w:rPr>
          <w:rFonts w:ascii="Calibri" w:hAnsi="Calibri" w:cs="Calibri"/>
        </w:rPr>
      </w:pPr>
      <w:r w:rsidRPr="001C71BD">
        <w:rPr>
          <w:rFonts w:ascii="Calibri" w:hAnsi="Calibri" w:cs="Calibri"/>
        </w:rPr>
        <w:t xml:space="preserve">6. </w:t>
      </w:r>
      <w:r w:rsidRPr="001C71BD">
        <w:rPr>
          <w:rFonts w:ascii="Calibri" w:hAnsi="Calibri" w:cs="Calibri"/>
        </w:rPr>
        <w:tab/>
        <w:t xml:space="preserve">Zhang M, </w:t>
      </w:r>
      <w:proofErr w:type="spellStart"/>
      <w:r w:rsidRPr="001C71BD">
        <w:rPr>
          <w:rFonts w:ascii="Calibri" w:hAnsi="Calibri" w:cs="Calibri"/>
        </w:rPr>
        <w:t>Su</w:t>
      </w:r>
      <w:proofErr w:type="spellEnd"/>
      <w:r w:rsidRPr="001C71BD">
        <w:rPr>
          <w:rFonts w:ascii="Calibri" w:hAnsi="Calibri" w:cs="Calibri"/>
        </w:rPr>
        <w:t xml:space="preserve"> Y-Q, </w:t>
      </w:r>
      <w:proofErr w:type="spellStart"/>
      <w:r w:rsidRPr="001C71BD">
        <w:rPr>
          <w:rFonts w:ascii="Calibri" w:hAnsi="Calibri" w:cs="Calibri"/>
        </w:rPr>
        <w:t>Sugiura</w:t>
      </w:r>
      <w:proofErr w:type="spellEnd"/>
      <w:r w:rsidRPr="001C71BD">
        <w:rPr>
          <w:rFonts w:ascii="Calibri" w:hAnsi="Calibri" w:cs="Calibri"/>
        </w:rPr>
        <w:t xml:space="preserve"> K, Xia G, </w:t>
      </w:r>
      <w:proofErr w:type="spellStart"/>
      <w:r w:rsidRPr="001C71BD">
        <w:rPr>
          <w:rFonts w:ascii="Calibri" w:hAnsi="Calibri" w:cs="Calibri"/>
        </w:rPr>
        <w:t>Eppig</w:t>
      </w:r>
      <w:proofErr w:type="spellEnd"/>
      <w:r w:rsidRPr="001C71BD">
        <w:rPr>
          <w:rFonts w:ascii="Calibri" w:hAnsi="Calibri" w:cs="Calibri"/>
        </w:rPr>
        <w:t xml:space="preserve"> JJ. Granulosa cell ligand NPPC and its receptor NPR2 maintain meiotic arrest in mouse oocytes. </w:t>
      </w:r>
      <w:r w:rsidRPr="001C71BD">
        <w:rPr>
          <w:rFonts w:ascii="Calibri" w:hAnsi="Calibri" w:cs="Calibri"/>
          <w:i/>
          <w:iCs/>
        </w:rPr>
        <w:t>Science</w:t>
      </w:r>
      <w:r w:rsidRPr="001C71BD">
        <w:rPr>
          <w:rFonts w:ascii="Calibri" w:hAnsi="Calibri" w:cs="Calibri"/>
        </w:rPr>
        <w:t xml:space="preserve"> 2010;330(6002):366–369.</w:t>
      </w:r>
    </w:p>
    <w:p w14:paraId="6684433B" w14:textId="77777777" w:rsidR="001C71BD" w:rsidRPr="001C71BD" w:rsidRDefault="001C71BD" w:rsidP="001C71BD">
      <w:pPr>
        <w:pStyle w:val="Bibliography"/>
        <w:rPr>
          <w:rFonts w:ascii="Calibri" w:hAnsi="Calibri" w:cs="Calibri"/>
        </w:rPr>
      </w:pPr>
      <w:r w:rsidRPr="001C71BD">
        <w:rPr>
          <w:rFonts w:ascii="Calibri" w:hAnsi="Calibri" w:cs="Calibri"/>
        </w:rPr>
        <w:t xml:space="preserve">7. </w:t>
      </w:r>
      <w:r w:rsidRPr="001C71BD">
        <w:rPr>
          <w:rFonts w:ascii="Calibri" w:hAnsi="Calibri" w:cs="Calibri"/>
        </w:rPr>
        <w:tab/>
        <w:t xml:space="preserve">Tsuji T, </w:t>
      </w:r>
      <w:proofErr w:type="spellStart"/>
      <w:r w:rsidRPr="001C71BD">
        <w:rPr>
          <w:rFonts w:ascii="Calibri" w:hAnsi="Calibri" w:cs="Calibri"/>
        </w:rPr>
        <w:t>Kiyosu</w:t>
      </w:r>
      <w:proofErr w:type="spellEnd"/>
      <w:r w:rsidRPr="001C71BD">
        <w:rPr>
          <w:rFonts w:ascii="Calibri" w:hAnsi="Calibri" w:cs="Calibri"/>
        </w:rPr>
        <w:t xml:space="preserve"> C, Akiyama K, </w:t>
      </w:r>
      <w:proofErr w:type="spellStart"/>
      <w:r w:rsidRPr="001C71BD">
        <w:rPr>
          <w:rFonts w:ascii="Calibri" w:hAnsi="Calibri" w:cs="Calibri"/>
        </w:rPr>
        <w:t>Kunieda</w:t>
      </w:r>
      <w:proofErr w:type="spellEnd"/>
      <w:r w:rsidRPr="001C71BD">
        <w:rPr>
          <w:rFonts w:ascii="Calibri" w:hAnsi="Calibri" w:cs="Calibri"/>
        </w:rPr>
        <w:t xml:space="preserve"> T. CNP/NPR2 signaling maintains oocyte meiotic arrest in early antral follicles and is suppressed by EGFR-mediated signaling in preovulatory follicles. </w:t>
      </w:r>
      <w:r w:rsidRPr="001C71BD">
        <w:rPr>
          <w:rFonts w:ascii="Calibri" w:hAnsi="Calibri" w:cs="Calibri"/>
          <w:i/>
          <w:iCs/>
        </w:rPr>
        <w:t xml:space="preserve">Mol </w:t>
      </w:r>
      <w:proofErr w:type="spellStart"/>
      <w:r w:rsidRPr="001C71BD">
        <w:rPr>
          <w:rFonts w:ascii="Calibri" w:hAnsi="Calibri" w:cs="Calibri"/>
          <w:i/>
          <w:iCs/>
        </w:rPr>
        <w:t>Reprod</w:t>
      </w:r>
      <w:proofErr w:type="spellEnd"/>
      <w:r w:rsidRPr="001C71BD">
        <w:rPr>
          <w:rFonts w:ascii="Calibri" w:hAnsi="Calibri" w:cs="Calibri"/>
          <w:i/>
          <w:iCs/>
        </w:rPr>
        <w:t xml:space="preserve"> Dev</w:t>
      </w:r>
      <w:r w:rsidRPr="001C71BD">
        <w:rPr>
          <w:rFonts w:ascii="Calibri" w:hAnsi="Calibri" w:cs="Calibri"/>
        </w:rPr>
        <w:t xml:space="preserve"> 2012;79(11):795–802.</w:t>
      </w:r>
    </w:p>
    <w:p w14:paraId="7B141E13" w14:textId="77777777" w:rsidR="001C71BD" w:rsidRPr="001C71BD" w:rsidRDefault="001C71BD" w:rsidP="001C71BD">
      <w:pPr>
        <w:pStyle w:val="Bibliography"/>
        <w:rPr>
          <w:rFonts w:ascii="Calibri" w:hAnsi="Calibri" w:cs="Calibri"/>
        </w:rPr>
      </w:pPr>
      <w:r w:rsidRPr="001C71BD">
        <w:rPr>
          <w:rFonts w:ascii="Calibri" w:hAnsi="Calibri" w:cs="Calibri"/>
        </w:rPr>
        <w:t xml:space="preserve">8. </w:t>
      </w:r>
      <w:r w:rsidRPr="001C71BD">
        <w:rPr>
          <w:rFonts w:ascii="Calibri" w:hAnsi="Calibri" w:cs="Calibri"/>
        </w:rPr>
        <w:tab/>
        <w:t xml:space="preserve">Xi G, Wang W, </w:t>
      </w:r>
      <w:proofErr w:type="spellStart"/>
      <w:r w:rsidRPr="001C71BD">
        <w:rPr>
          <w:rFonts w:ascii="Calibri" w:hAnsi="Calibri" w:cs="Calibri"/>
        </w:rPr>
        <w:t>Fazlani</w:t>
      </w:r>
      <w:proofErr w:type="spellEnd"/>
      <w:r w:rsidRPr="001C71BD">
        <w:rPr>
          <w:rFonts w:ascii="Calibri" w:hAnsi="Calibri" w:cs="Calibri"/>
        </w:rPr>
        <w:t xml:space="preserve"> SA, Yao F, Yang M, Hao J, An L, Tian J. C-type natriuretic peptide enhances mouse preantral follicle growth. </w:t>
      </w:r>
      <w:r w:rsidRPr="001C71BD">
        <w:rPr>
          <w:rFonts w:ascii="Calibri" w:hAnsi="Calibri" w:cs="Calibri"/>
          <w:i/>
          <w:iCs/>
        </w:rPr>
        <w:t>Reproduction</w:t>
      </w:r>
      <w:r w:rsidRPr="001C71BD">
        <w:rPr>
          <w:rFonts w:ascii="Calibri" w:hAnsi="Calibri" w:cs="Calibri"/>
        </w:rPr>
        <w:t xml:space="preserve"> 2019;157(5):445–455.</w:t>
      </w:r>
    </w:p>
    <w:p w14:paraId="4DD2B178" w14:textId="77777777" w:rsidR="001C71BD" w:rsidRPr="001C71BD" w:rsidRDefault="001C71BD" w:rsidP="001C71BD">
      <w:pPr>
        <w:pStyle w:val="Bibliography"/>
        <w:rPr>
          <w:rFonts w:ascii="Calibri" w:hAnsi="Calibri" w:cs="Calibri"/>
        </w:rPr>
      </w:pPr>
      <w:r w:rsidRPr="001C71BD">
        <w:rPr>
          <w:rFonts w:ascii="Calibri" w:hAnsi="Calibri" w:cs="Calibri"/>
        </w:rPr>
        <w:t xml:space="preserve">9. </w:t>
      </w:r>
      <w:r w:rsidRPr="001C71BD">
        <w:rPr>
          <w:rFonts w:ascii="Calibri" w:hAnsi="Calibri" w:cs="Calibri"/>
        </w:rPr>
        <w:tab/>
        <w:t xml:space="preserve">Piersanti RL, Santos JEP, Sheldon IM, Bromfield JJ. Lipopolysaccharide and tumor necrosis factor-alpha alter gene expression of oocytes and cumulus cells during bovine in vitro maturation. </w:t>
      </w:r>
      <w:r w:rsidRPr="001C71BD">
        <w:rPr>
          <w:rFonts w:ascii="Calibri" w:hAnsi="Calibri" w:cs="Calibri"/>
          <w:i/>
          <w:iCs/>
        </w:rPr>
        <w:t xml:space="preserve">Mol </w:t>
      </w:r>
      <w:proofErr w:type="spellStart"/>
      <w:r w:rsidRPr="001C71BD">
        <w:rPr>
          <w:rFonts w:ascii="Calibri" w:hAnsi="Calibri" w:cs="Calibri"/>
          <w:i/>
          <w:iCs/>
        </w:rPr>
        <w:t>Reprod</w:t>
      </w:r>
      <w:proofErr w:type="spellEnd"/>
      <w:r w:rsidRPr="001C71BD">
        <w:rPr>
          <w:rFonts w:ascii="Calibri" w:hAnsi="Calibri" w:cs="Calibri"/>
          <w:i/>
          <w:iCs/>
        </w:rPr>
        <w:t xml:space="preserve"> Dev</w:t>
      </w:r>
      <w:r w:rsidRPr="001C71BD">
        <w:rPr>
          <w:rFonts w:ascii="Calibri" w:hAnsi="Calibri" w:cs="Calibri"/>
        </w:rPr>
        <w:t xml:space="preserve"> 2019;86(12):1909–1920.</w:t>
      </w:r>
    </w:p>
    <w:p w14:paraId="26EF1818" w14:textId="77777777" w:rsidR="001C71BD" w:rsidRPr="001C71BD" w:rsidRDefault="001C71BD" w:rsidP="001C71BD">
      <w:pPr>
        <w:pStyle w:val="Bibliography"/>
        <w:rPr>
          <w:rFonts w:ascii="Calibri" w:hAnsi="Calibri" w:cs="Calibri"/>
        </w:rPr>
      </w:pPr>
      <w:r w:rsidRPr="001C71BD">
        <w:rPr>
          <w:rFonts w:ascii="Calibri" w:hAnsi="Calibri" w:cs="Calibri"/>
        </w:rPr>
        <w:t xml:space="preserve">10. </w:t>
      </w:r>
      <w:r w:rsidRPr="001C71BD">
        <w:rPr>
          <w:rFonts w:ascii="Calibri" w:hAnsi="Calibri" w:cs="Calibri"/>
        </w:rPr>
        <w:tab/>
        <w:t xml:space="preserve">Alfieri C, Chang L, Zhang Z, Yang J, Maslen S, </w:t>
      </w:r>
      <w:proofErr w:type="spellStart"/>
      <w:r w:rsidRPr="001C71BD">
        <w:rPr>
          <w:rFonts w:ascii="Calibri" w:hAnsi="Calibri" w:cs="Calibri"/>
        </w:rPr>
        <w:t>Skehel</w:t>
      </w:r>
      <w:proofErr w:type="spellEnd"/>
      <w:r w:rsidRPr="001C71BD">
        <w:rPr>
          <w:rFonts w:ascii="Calibri" w:hAnsi="Calibri" w:cs="Calibri"/>
        </w:rPr>
        <w:t xml:space="preserve"> M, Barford D. Molecular basis of APC/C regulation by the spindle assembly checkpoint. </w:t>
      </w:r>
      <w:r w:rsidRPr="001C71BD">
        <w:rPr>
          <w:rFonts w:ascii="Calibri" w:hAnsi="Calibri" w:cs="Calibri"/>
          <w:i/>
          <w:iCs/>
        </w:rPr>
        <w:t>Nature</w:t>
      </w:r>
      <w:r w:rsidRPr="001C71BD">
        <w:rPr>
          <w:rFonts w:ascii="Calibri" w:hAnsi="Calibri" w:cs="Calibri"/>
        </w:rPr>
        <w:t xml:space="preserve"> 2016;536(7617):431–436.</w:t>
      </w:r>
    </w:p>
    <w:p w14:paraId="3D7C1FD8" w14:textId="77777777" w:rsidR="001C71BD" w:rsidRPr="001C71BD" w:rsidRDefault="001C71BD" w:rsidP="001C71BD">
      <w:pPr>
        <w:pStyle w:val="Bibliography"/>
        <w:rPr>
          <w:rFonts w:ascii="Calibri" w:hAnsi="Calibri" w:cs="Calibri"/>
        </w:rPr>
      </w:pPr>
      <w:r w:rsidRPr="001C71BD">
        <w:rPr>
          <w:rFonts w:ascii="Calibri" w:hAnsi="Calibri" w:cs="Calibri"/>
        </w:rPr>
        <w:t xml:space="preserve">11. </w:t>
      </w:r>
      <w:r w:rsidRPr="001C71BD">
        <w:rPr>
          <w:rFonts w:ascii="Calibri" w:hAnsi="Calibri" w:cs="Calibri"/>
        </w:rPr>
        <w:tab/>
        <w:t xml:space="preserve">Lussier JG, Diouf MN, Lévesque V, Sirois J, Ndiaye K. Gene expression profiling of upregulated mRNAs in granulosa cells of bovine ovulatory follicles following stimulation with </w:t>
      </w:r>
      <w:proofErr w:type="spellStart"/>
      <w:r w:rsidRPr="001C71BD">
        <w:rPr>
          <w:rFonts w:ascii="Calibri" w:hAnsi="Calibri" w:cs="Calibri"/>
        </w:rPr>
        <w:t>hCG</w:t>
      </w:r>
      <w:proofErr w:type="spellEnd"/>
      <w:r w:rsidRPr="001C71BD">
        <w:rPr>
          <w:rFonts w:ascii="Calibri" w:hAnsi="Calibri" w:cs="Calibri"/>
        </w:rPr>
        <w:t xml:space="preserve">. </w:t>
      </w:r>
      <w:proofErr w:type="spellStart"/>
      <w:r w:rsidRPr="001C71BD">
        <w:rPr>
          <w:rFonts w:ascii="Calibri" w:hAnsi="Calibri" w:cs="Calibri"/>
          <w:i/>
          <w:iCs/>
        </w:rPr>
        <w:t>Reprod</w:t>
      </w:r>
      <w:proofErr w:type="spellEnd"/>
      <w:r w:rsidRPr="001C71BD">
        <w:rPr>
          <w:rFonts w:ascii="Calibri" w:hAnsi="Calibri" w:cs="Calibri"/>
          <w:i/>
          <w:iCs/>
        </w:rPr>
        <w:t xml:space="preserve"> Biol Endocrinol</w:t>
      </w:r>
      <w:r w:rsidRPr="001C71BD">
        <w:rPr>
          <w:rFonts w:ascii="Calibri" w:hAnsi="Calibri" w:cs="Calibri"/>
        </w:rPr>
        <w:t xml:space="preserve"> 2017;15(1):88.</w:t>
      </w:r>
    </w:p>
    <w:p w14:paraId="5DDE741D" w14:textId="77777777" w:rsidR="001C71BD" w:rsidRPr="001C71BD" w:rsidRDefault="001C71BD" w:rsidP="001C71BD">
      <w:pPr>
        <w:pStyle w:val="Bibliography"/>
        <w:rPr>
          <w:rFonts w:ascii="Calibri" w:hAnsi="Calibri" w:cs="Calibri"/>
        </w:rPr>
      </w:pPr>
      <w:r w:rsidRPr="001C71BD">
        <w:rPr>
          <w:rFonts w:ascii="Calibri" w:hAnsi="Calibri" w:cs="Calibri"/>
        </w:rPr>
        <w:t xml:space="preserve">12. </w:t>
      </w:r>
      <w:r w:rsidRPr="001C71BD">
        <w:rPr>
          <w:rFonts w:ascii="Calibri" w:hAnsi="Calibri" w:cs="Calibri"/>
        </w:rPr>
        <w:tab/>
      </w:r>
      <w:proofErr w:type="spellStart"/>
      <w:r w:rsidRPr="001C71BD">
        <w:rPr>
          <w:rFonts w:ascii="Calibri" w:hAnsi="Calibri" w:cs="Calibri"/>
        </w:rPr>
        <w:t>Rovani</w:t>
      </w:r>
      <w:proofErr w:type="spellEnd"/>
      <w:r w:rsidRPr="001C71BD">
        <w:rPr>
          <w:rFonts w:ascii="Calibri" w:hAnsi="Calibri" w:cs="Calibri"/>
        </w:rPr>
        <w:t xml:space="preserve"> MT, </w:t>
      </w:r>
      <w:proofErr w:type="spellStart"/>
      <w:r w:rsidRPr="001C71BD">
        <w:rPr>
          <w:rFonts w:ascii="Calibri" w:hAnsi="Calibri" w:cs="Calibri"/>
        </w:rPr>
        <w:t>Gasperin</w:t>
      </w:r>
      <w:proofErr w:type="spellEnd"/>
      <w:r w:rsidRPr="001C71BD">
        <w:rPr>
          <w:rFonts w:ascii="Calibri" w:hAnsi="Calibri" w:cs="Calibri"/>
        </w:rPr>
        <w:t xml:space="preserve"> BG, </w:t>
      </w:r>
      <w:proofErr w:type="spellStart"/>
      <w:r w:rsidRPr="001C71BD">
        <w:rPr>
          <w:rFonts w:ascii="Calibri" w:hAnsi="Calibri" w:cs="Calibri"/>
        </w:rPr>
        <w:t>Ilha</w:t>
      </w:r>
      <w:proofErr w:type="spellEnd"/>
      <w:r w:rsidRPr="001C71BD">
        <w:rPr>
          <w:rFonts w:ascii="Calibri" w:hAnsi="Calibri" w:cs="Calibri"/>
        </w:rPr>
        <w:t xml:space="preserve"> GF, Ferreira R, </w:t>
      </w:r>
      <w:proofErr w:type="spellStart"/>
      <w:r w:rsidRPr="001C71BD">
        <w:rPr>
          <w:rFonts w:ascii="Calibri" w:hAnsi="Calibri" w:cs="Calibri"/>
        </w:rPr>
        <w:t>Bohrer</w:t>
      </w:r>
      <w:proofErr w:type="spellEnd"/>
      <w:r w:rsidRPr="001C71BD">
        <w:rPr>
          <w:rFonts w:ascii="Calibri" w:hAnsi="Calibri" w:cs="Calibri"/>
        </w:rPr>
        <w:t xml:space="preserve"> RC, </w:t>
      </w:r>
      <w:proofErr w:type="spellStart"/>
      <w:r w:rsidRPr="001C71BD">
        <w:rPr>
          <w:rFonts w:ascii="Calibri" w:hAnsi="Calibri" w:cs="Calibri"/>
        </w:rPr>
        <w:t>Duggavathi</w:t>
      </w:r>
      <w:proofErr w:type="spellEnd"/>
      <w:r w:rsidRPr="001C71BD">
        <w:rPr>
          <w:rFonts w:ascii="Calibri" w:hAnsi="Calibri" w:cs="Calibri"/>
        </w:rPr>
        <w:t xml:space="preserve"> R, </w:t>
      </w:r>
      <w:proofErr w:type="spellStart"/>
      <w:r w:rsidRPr="001C71BD">
        <w:rPr>
          <w:rFonts w:ascii="Calibri" w:hAnsi="Calibri" w:cs="Calibri"/>
        </w:rPr>
        <w:t>Bordignon</w:t>
      </w:r>
      <w:proofErr w:type="spellEnd"/>
      <w:r w:rsidRPr="001C71BD">
        <w:rPr>
          <w:rFonts w:ascii="Calibri" w:hAnsi="Calibri" w:cs="Calibri"/>
        </w:rPr>
        <w:t xml:space="preserve"> V, Gonçalves PBD. Expression and molecular consequences of inhibition of estrogen receptors in granulosa cells of bovine follicles. </w:t>
      </w:r>
      <w:r w:rsidRPr="001C71BD">
        <w:rPr>
          <w:rFonts w:ascii="Calibri" w:hAnsi="Calibri" w:cs="Calibri"/>
          <w:i/>
          <w:iCs/>
        </w:rPr>
        <w:t>J Ovarian Res</w:t>
      </w:r>
      <w:r w:rsidRPr="001C71BD">
        <w:rPr>
          <w:rFonts w:ascii="Calibri" w:hAnsi="Calibri" w:cs="Calibri"/>
        </w:rPr>
        <w:t xml:space="preserve"> </w:t>
      </w:r>
      <w:proofErr w:type="gramStart"/>
      <w:r w:rsidRPr="001C71BD">
        <w:rPr>
          <w:rFonts w:ascii="Calibri" w:hAnsi="Calibri" w:cs="Calibri"/>
        </w:rPr>
        <w:t>2014;7:96</w:t>
      </w:r>
      <w:proofErr w:type="gramEnd"/>
      <w:r w:rsidRPr="001C71BD">
        <w:rPr>
          <w:rFonts w:ascii="Calibri" w:hAnsi="Calibri" w:cs="Calibri"/>
        </w:rPr>
        <w:t>.</w:t>
      </w:r>
    </w:p>
    <w:p w14:paraId="3A1963C9" w14:textId="77777777" w:rsidR="001C71BD" w:rsidRPr="001C71BD" w:rsidRDefault="001C71BD" w:rsidP="001C71BD">
      <w:pPr>
        <w:pStyle w:val="Bibliography"/>
        <w:rPr>
          <w:rFonts w:ascii="Calibri" w:hAnsi="Calibri" w:cs="Calibri"/>
        </w:rPr>
      </w:pPr>
      <w:r w:rsidRPr="001C71BD">
        <w:rPr>
          <w:rFonts w:ascii="Calibri" w:hAnsi="Calibri" w:cs="Calibri"/>
        </w:rPr>
        <w:t xml:space="preserve">13. </w:t>
      </w:r>
      <w:r w:rsidRPr="001C71BD">
        <w:rPr>
          <w:rFonts w:ascii="Calibri" w:hAnsi="Calibri" w:cs="Calibri"/>
        </w:rPr>
        <w:tab/>
      </w:r>
      <w:proofErr w:type="spellStart"/>
      <w:r w:rsidRPr="001C71BD">
        <w:rPr>
          <w:rFonts w:ascii="Calibri" w:hAnsi="Calibri" w:cs="Calibri"/>
        </w:rPr>
        <w:t>Hatzirodos</w:t>
      </w:r>
      <w:proofErr w:type="spellEnd"/>
      <w:r w:rsidRPr="001C71BD">
        <w:rPr>
          <w:rFonts w:ascii="Calibri" w:hAnsi="Calibri" w:cs="Calibri"/>
        </w:rPr>
        <w:t xml:space="preserve"> N, Irving-Rodgers HF, </w:t>
      </w:r>
      <w:proofErr w:type="spellStart"/>
      <w:r w:rsidRPr="001C71BD">
        <w:rPr>
          <w:rFonts w:ascii="Calibri" w:hAnsi="Calibri" w:cs="Calibri"/>
        </w:rPr>
        <w:t>Hummitzsch</w:t>
      </w:r>
      <w:proofErr w:type="spellEnd"/>
      <w:r w:rsidRPr="001C71BD">
        <w:rPr>
          <w:rFonts w:ascii="Calibri" w:hAnsi="Calibri" w:cs="Calibri"/>
        </w:rPr>
        <w:t xml:space="preserve"> K, Rodgers RJ. Transcriptome profiling of the theca interna from bovine ovarian follicles during atresia. </w:t>
      </w:r>
      <w:proofErr w:type="spellStart"/>
      <w:r w:rsidRPr="001C71BD">
        <w:rPr>
          <w:rFonts w:ascii="Calibri" w:hAnsi="Calibri" w:cs="Calibri"/>
          <w:i/>
          <w:iCs/>
        </w:rPr>
        <w:t>PLoS</w:t>
      </w:r>
      <w:proofErr w:type="spellEnd"/>
      <w:r w:rsidRPr="001C71BD">
        <w:rPr>
          <w:rFonts w:ascii="Calibri" w:hAnsi="Calibri" w:cs="Calibri"/>
          <w:i/>
          <w:iCs/>
        </w:rPr>
        <w:t xml:space="preserve"> One</w:t>
      </w:r>
      <w:r w:rsidRPr="001C71BD">
        <w:rPr>
          <w:rFonts w:ascii="Calibri" w:hAnsi="Calibri" w:cs="Calibri"/>
        </w:rPr>
        <w:t xml:space="preserve"> 2014;9(6</w:t>
      </w:r>
      <w:proofErr w:type="gramStart"/>
      <w:r w:rsidRPr="001C71BD">
        <w:rPr>
          <w:rFonts w:ascii="Calibri" w:hAnsi="Calibri" w:cs="Calibri"/>
        </w:rPr>
        <w:t>):e</w:t>
      </w:r>
      <w:proofErr w:type="gramEnd"/>
      <w:r w:rsidRPr="001C71BD">
        <w:rPr>
          <w:rFonts w:ascii="Calibri" w:hAnsi="Calibri" w:cs="Calibri"/>
        </w:rPr>
        <w:t>99706.</w:t>
      </w:r>
    </w:p>
    <w:p w14:paraId="7B15FB65" w14:textId="77777777" w:rsidR="001C71BD" w:rsidRPr="001C71BD" w:rsidRDefault="001C71BD" w:rsidP="001C71BD">
      <w:pPr>
        <w:pStyle w:val="Bibliography"/>
        <w:rPr>
          <w:rFonts w:ascii="Calibri" w:hAnsi="Calibri" w:cs="Calibri"/>
        </w:rPr>
      </w:pPr>
      <w:r w:rsidRPr="001C71BD">
        <w:rPr>
          <w:rFonts w:ascii="Calibri" w:hAnsi="Calibri" w:cs="Calibri"/>
        </w:rPr>
        <w:lastRenderedPageBreak/>
        <w:t xml:space="preserve">14. </w:t>
      </w:r>
      <w:r w:rsidRPr="001C71BD">
        <w:rPr>
          <w:rFonts w:ascii="Calibri" w:hAnsi="Calibri" w:cs="Calibri"/>
        </w:rPr>
        <w:tab/>
        <w:t xml:space="preserve">Wu Y, Lin J, Li X, Han B, Wang L, Liu M, Huang J. Transcriptome profile of one-month-old lambs’ granulosa cells after </w:t>
      </w:r>
      <w:proofErr w:type="spellStart"/>
      <w:r w:rsidRPr="001C71BD">
        <w:rPr>
          <w:rFonts w:ascii="Calibri" w:hAnsi="Calibri" w:cs="Calibri"/>
        </w:rPr>
        <w:t>superstimulation</w:t>
      </w:r>
      <w:proofErr w:type="spellEnd"/>
      <w:r w:rsidRPr="001C71BD">
        <w:rPr>
          <w:rFonts w:ascii="Calibri" w:hAnsi="Calibri" w:cs="Calibri"/>
        </w:rPr>
        <w:t xml:space="preserve">. </w:t>
      </w:r>
      <w:r w:rsidRPr="001C71BD">
        <w:rPr>
          <w:rFonts w:ascii="Calibri" w:hAnsi="Calibri" w:cs="Calibri"/>
          <w:i/>
          <w:iCs/>
        </w:rPr>
        <w:t>Asian-</w:t>
      </w:r>
      <w:proofErr w:type="spellStart"/>
      <w:r w:rsidRPr="001C71BD">
        <w:rPr>
          <w:rFonts w:ascii="Calibri" w:hAnsi="Calibri" w:cs="Calibri"/>
          <w:i/>
          <w:iCs/>
        </w:rPr>
        <w:t>Australas</w:t>
      </w:r>
      <w:proofErr w:type="spellEnd"/>
      <w:r w:rsidRPr="001C71BD">
        <w:rPr>
          <w:rFonts w:ascii="Calibri" w:hAnsi="Calibri" w:cs="Calibri"/>
          <w:i/>
          <w:iCs/>
        </w:rPr>
        <w:t xml:space="preserve"> J </w:t>
      </w:r>
      <w:proofErr w:type="spellStart"/>
      <w:r w:rsidRPr="001C71BD">
        <w:rPr>
          <w:rFonts w:ascii="Calibri" w:hAnsi="Calibri" w:cs="Calibri"/>
          <w:i/>
          <w:iCs/>
        </w:rPr>
        <w:t>Anim</w:t>
      </w:r>
      <w:proofErr w:type="spellEnd"/>
      <w:r w:rsidRPr="001C71BD">
        <w:rPr>
          <w:rFonts w:ascii="Calibri" w:hAnsi="Calibri" w:cs="Calibri"/>
          <w:i/>
          <w:iCs/>
        </w:rPr>
        <w:t xml:space="preserve"> Sci</w:t>
      </w:r>
      <w:r w:rsidRPr="001C71BD">
        <w:rPr>
          <w:rFonts w:ascii="Calibri" w:hAnsi="Calibri" w:cs="Calibri"/>
        </w:rPr>
        <w:t xml:space="preserve"> 2017;30(1):20–33.</w:t>
      </w:r>
    </w:p>
    <w:p w14:paraId="155A48AE" w14:textId="77777777" w:rsidR="001C71BD" w:rsidRPr="001C71BD" w:rsidRDefault="001C71BD" w:rsidP="001C71BD">
      <w:pPr>
        <w:pStyle w:val="Bibliography"/>
        <w:rPr>
          <w:rFonts w:ascii="Calibri" w:hAnsi="Calibri" w:cs="Calibri"/>
        </w:rPr>
      </w:pPr>
      <w:r w:rsidRPr="001C71BD">
        <w:rPr>
          <w:rFonts w:ascii="Calibri" w:hAnsi="Calibri" w:cs="Calibri"/>
        </w:rPr>
        <w:t xml:space="preserve">15. </w:t>
      </w:r>
      <w:r w:rsidRPr="001C71BD">
        <w:rPr>
          <w:rFonts w:ascii="Calibri" w:hAnsi="Calibri" w:cs="Calibri"/>
        </w:rPr>
        <w:tab/>
        <w:t xml:space="preserve">Yang X-M, Cao X-Y, He P, Li J, Feng M-X, Zhang Y-L, Zhang X-L, Wang Y-H, Yang Q, Zhu L, </w:t>
      </w:r>
      <w:proofErr w:type="spellStart"/>
      <w:r w:rsidRPr="001C71BD">
        <w:rPr>
          <w:rFonts w:ascii="Calibri" w:hAnsi="Calibri" w:cs="Calibri"/>
        </w:rPr>
        <w:t>Nie</w:t>
      </w:r>
      <w:proofErr w:type="spellEnd"/>
      <w:r w:rsidRPr="001C71BD">
        <w:rPr>
          <w:rFonts w:ascii="Calibri" w:hAnsi="Calibri" w:cs="Calibri"/>
        </w:rPr>
        <w:t xml:space="preserve"> H-Z, Jiang S-H, Tian G-A, Zhang X-X, Liu Q, Ji J, Zhu X, Xia Q, Zhang Z-G. Overexpression of </w:t>
      </w:r>
      <w:proofErr w:type="spellStart"/>
      <w:r w:rsidRPr="001C71BD">
        <w:rPr>
          <w:rFonts w:ascii="Calibri" w:hAnsi="Calibri" w:cs="Calibri"/>
        </w:rPr>
        <w:t>Rac</w:t>
      </w:r>
      <w:proofErr w:type="spellEnd"/>
      <w:r w:rsidRPr="001C71BD">
        <w:rPr>
          <w:rFonts w:ascii="Calibri" w:hAnsi="Calibri" w:cs="Calibri"/>
        </w:rPr>
        <w:t xml:space="preserve"> GTPase Activating Protein 1 Contributes to Proliferation of Cancer Cells by Reducing Hippo Signaling to Promote Cytokinesis. </w:t>
      </w:r>
      <w:r w:rsidRPr="001C71BD">
        <w:rPr>
          <w:rFonts w:ascii="Calibri" w:hAnsi="Calibri" w:cs="Calibri"/>
          <w:i/>
          <w:iCs/>
        </w:rPr>
        <w:t>Gastroenterology</w:t>
      </w:r>
      <w:r w:rsidRPr="001C71BD">
        <w:rPr>
          <w:rFonts w:ascii="Calibri" w:hAnsi="Calibri" w:cs="Calibri"/>
        </w:rPr>
        <w:t xml:space="preserve"> 2018;155(4):1233-1249.e22.</w:t>
      </w:r>
    </w:p>
    <w:p w14:paraId="43A2FFC5" w14:textId="77777777" w:rsidR="001C71BD" w:rsidRPr="001C71BD" w:rsidRDefault="001C71BD" w:rsidP="001C71BD">
      <w:pPr>
        <w:pStyle w:val="Bibliography"/>
        <w:rPr>
          <w:rFonts w:ascii="Calibri" w:hAnsi="Calibri" w:cs="Calibri"/>
        </w:rPr>
      </w:pPr>
      <w:r w:rsidRPr="001C71BD">
        <w:rPr>
          <w:rFonts w:ascii="Calibri" w:hAnsi="Calibri" w:cs="Calibri"/>
        </w:rPr>
        <w:t xml:space="preserve">16. </w:t>
      </w:r>
      <w:r w:rsidRPr="001C71BD">
        <w:rPr>
          <w:rFonts w:ascii="Calibri" w:hAnsi="Calibri" w:cs="Calibri"/>
        </w:rPr>
        <w:tab/>
        <w:t>Landry DA, Rossi-</w:t>
      </w:r>
      <w:proofErr w:type="spellStart"/>
      <w:r w:rsidRPr="001C71BD">
        <w:rPr>
          <w:rFonts w:ascii="Calibri" w:hAnsi="Calibri" w:cs="Calibri"/>
        </w:rPr>
        <w:t>Perazza</w:t>
      </w:r>
      <w:proofErr w:type="spellEnd"/>
      <w:r w:rsidRPr="001C71BD">
        <w:rPr>
          <w:rFonts w:ascii="Calibri" w:hAnsi="Calibri" w:cs="Calibri"/>
        </w:rPr>
        <w:t xml:space="preserve"> L, Lafontaine S, </w:t>
      </w:r>
      <w:proofErr w:type="spellStart"/>
      <w:r w:rsidRPr="001C71BD">
        <w:rPr>
          <w:rFonts w:ascii="Calibri" w:hAnsi="Calibri" w:cs="Calibri"/>
        </w:rPr>
        <w:t>Sirard</w:t>
      </w:r>
      <w:proofErr w:type="spellEnd"/>
      <w:r w:rsidRPr="001C71BD">
        <w:rPr>
          <w:rFonts w:ascii="Calibri" w:hAnsi="Calibri" w:cs="Calibri"/>
        </w:rPr>
        <w:t xml:space="preserve"> M-A. Expression of atresia biomarkers in granulosa cells after ovarian stimulation in heifers. </w:t>
      </w:r>
      <w:r w:rsidRPr="001C71BD">
        <w:rPr>
          <w:rFonts w:ascii="Calibri" w:hAnsi="Calibri" w:cs="Calibri"/>
          <w:i/>
          <w:iCs/>
        </w:rPr>
        <w:t>Reproduction</w:t>
      </w:r>
      <w:r w:rsidRPr="001C71BD">
        <w:rPr>
          <w:rFonts w:ascii="Calibri" w:hAnsi="Calibri" w:cs="Calibri"/>
        </w:rPr>
        <w:t xml:space="preserve"> 2018;156(3):239–248.</w:t>
      </w:r>
    </w:p>
    <w:p w14:paraId="5F3B0A1F" w14:textId="77777777" w:rsidR="001C71BD" w:rsidRPr="001C71BD" w:rsidRDefault="001C71BD" w:rsidP="001C71BD">
      <w:pPr>
        <w:pStyle w:val="Bibliography"/>
        <w:rPr>
          <w:rFonts w:ascii="Calibri" w:hAnsi="Calibri" w:cs="Calibri"/>
        </w:rPr>
      </w:pPr>
      <w:r w:rsidRPr="001C71BD">
        <w:rPr>
          <w:rFonts w:ascii="Calibri" w:hAnsi="Calibri" w:cs="Calibri"/>
        </w:rPr>
        <w:t xml:space="preserve">17. </w:t>
      </w:r>
      <w:r w:rsidRPr="001C71BD">
        <w:rPr>
          <w:rFonts w:ascii="Calibri" w:hAnsi="Calibri" w:cs="Calibri"/>
        </w:rPr>
        <w:tab/>
        <w:t xml:space="preserve">Diaz FJ, </w:t>
      </w:r>
      <w:proofErr w:type="spellStart"/>
      <w:r w:rsidRPr="001C71BD">
        <w:rPr>
          <w:rFonts w:ascii="Calibri" w:hAnsi="Calibri" w:cs="Calibri"/>
        </w:rPr>
        <w:t>Sugiura</w:t>
      </w:r>
      <w:proofErr w:type="spellEnd"/>
      <w:r w:rsidRPr="001C71BD">
        <w:rPr>
          <w:rFonts w:ascii="Calibri" w:hAnsi="Calibri" w:cs="Calibri"/>
        </w:rPr>
        <w:t xml:space="preserve"> K, </w:t>
      </w:r>
      <w:proofErr w:type="spellStart"/>
      <w:r w:rsidRPr="001C71BD">
        <w:rPr>
          <w:rFonts w:ascii="Calibri" w:hAnsi="Calibri" w:cs="Calibri"/>
        </w:rPr>
        <w:t>Eppig</w:t>
      </w:r>
      <w:proofErr w:type="spellEnd"/>
      <w:r w:rsidRPr="001C71BD">
        <w:rPr>
          <w:rFonts w:ascii="Calibri" w:hAnsi="Calibri" w:cs="Calibri"/>
        </w:rPr>
        <w:t xml:space="preserve"> JJ. Regulation of Pcsk6 expression during the preantral to antral follicle transition in mice: opposing roles of FSH and oocytes. </w:t>
      </w:r>
      <w:r w:rsidRPr="001C71BD">
        <w:rPr>
          <w:rFonts w:ascii="Calibri" w:hAnsi="Calibri" w:cs="Calibri"/>
          <w:i/>
          <w:iCs/>
        </w:rPr>
        <w:t xml:space="preserve">Biol </w:t>
      </w:r>
      <w:proofErr w:type="spellStart"/>
      <w:r w:rsidRPr="001C71BD">
        <w:rPr>
          <w:rFonts w:ascii="Calibri" w:hAnsi="Calibri" w:cs="Calibri"/>
          <w:i/>
          <w:iCs/>
        </w:rPr>
        <w:t>Reprod</w:t>
      </w:r>
      <w:proofErr w:type="spellEnd"/>
      <w:r w:rsidRPr="001C71BD">
        <w:rPr>
          <w:rFonts w:ascii="Calibri" w:hAnsi="Calibri" w:cs="Calibri"/>
        </w:rPr>
        <w:t xml:space="preserve"> 2008;78(1):176–183.</w:t>
      </w:r>
    </w:p>
    <w:p w14:paraId="77003421" w14:textId="77777777" w:rsidR="001C71BD" w:rsidRPr="001C71BD" w:rsidRDefault="001C71BD" w:rsidP="001C71BD">
      <w:pPr>
        <w:pStyle w:val="Bibliography"/>
        <w:rPr>
          <w:rFonts w:ascii="Calibri" w:hAnsi="Calibri" w:cs="Calibri"/>
        </w:rPr>
      </w:pPr>
      <w:r w:rsidRPr="001C71BD">
        <w:rPr>
          <w:rFonts w:ascii="Calibri" w:hAnsi="Calibri" w:cs="Calibri"/>
        </w:rPr>
        <w:t xml:space="preserve">18. </w:t>
      </w:r>
      <w:r w:rsidRPr="001C71BD">
        <w:rPr>
          <w:rFonts w:ascii="Calibri" w:hAnsi="Calibri" w:cs="Calibri"/>
        </w:rPr>
        <w:tab/>
        <w:t xml:space="preserve">Blanchard JM. Cyclin A2 transcriptional regulation: modulation of cell cycle control at the G1/S transition by peripheral cues. </w:t>
      </w:r>
      <w:proofErr w:type="spellStart"/>
      <w:r w:rsidRPr="001C71BD">
        <w:rPr>
          <w:rFonts w:ascii="Calibri" w:hAnsi="Calibri" w:cs="Calibri"/>
          <w:i/>
          <w:iCs/>
        </w:rPr>
        <w:t>Biochem</w:t>
      </w:r>
      <w:proofErr w:type="spellEnd"/>
      <w:r w:rsidRPr="001C71BD">
        <w:rPr>
          <w:rFonts w:ascii="Calibri" w:hAnsi="Calibri" w:cs="Calibri"/>
          <w:i/>
          <w:iCs/>
        </w:rPr>
        <w:t xml:space="preserve"> </w:t>
      </w:r>
      <w:proofErr w:type="spellStart"/>
      <w:r w:rsidRPr="001C71BD">
        <w:rPr>
          <w:rFonts w:ascii="Calibri" w:hAnsi="Calibri" w:cs="Calibri"/>
          <w:i/>
          <w:iCs/>
        </w:rPr>
        <w:t>Pharmacol</w:t>
      </w:r>
      <w:proofErr w:type="spellEnd"/>
      <w:r w:rsidRPr="001C71BD">
        <w:rPr>
          <w:rFonts w:ascii="Calibri" w:hAnsi="Calibri" w:cs="Calibri"/>
        </w:rPr>
        <w:t xml:space="preserve"> 2000;60(8):1179–1184.</w:t>
      </w:r>
    </w:p>
    <w:p w14:paraId="5DDCD344" w14:textId="77777777" w:rsidR="001C71BD" w:rsidRPr="001C71BD" w:rsidRDefault="001C71BD" w:rsidP="001C71BD">
      <w:pPr>
        <w:pStyle w:val="Bibliography"/>
        <w:rPr>
          <w:rFonts w:ascii="Calibri" w:hAnsi="Calibri" w:cs="Calibri"/>
        </w:rPr>
      </w:pPr>
      <w:r w:rsidRPr="001C71BD">
        <w:rPr>
          <w:rFonts w:ascii="Calibri" w:hAnsi="Calibri" w:cs="Calibri"/>
        </w:rPr>
        <w:t xml:space="preserve">19. </w:t>
      </w:r>
      <w:r w:rsidRPr="001C71BD">
        <w:rPr>
          <w:rFonts w:ascii="Calibri" w:hAnsi="Calibri" w:cs="Calibri"/>
        </w:rPr>
        <w:tab/>
        <w:t xml:space="preserve">Gong D, Ferrell JEJ. The roles of cyclin A2, B1, and B2 in early and late mitotic events. </w:t>
      </w:r>
      <w:r w:rsidRPr="001C71BD">
        <w:rPr>
          <w:rFonts w:ascii="Calibri" w:hAnsi="Calibri" w:cs="Calibri"/>
          <w:i/>
          <w:iCs/>
        </w:rPr>
        <w:t>Mol Biol Cell</w:t>
      </w:r>
      <w:r w:rsidRPr="001C71BD">
        <w:rPr>
          <w:rFonts w:ascii="Calibri" w:hAnsi="Calibri" w:cs="Calibri"/>
        </w:rPr>
        <w:t xml:space="preserve"> 2010;21(18):3149–3161.</w:t>
      </w:r>
    </w:p>
    <w:p w14:paraId="7BA1CC83" w14:textId="77777777" w:rsidR="001C71BD" w:rsidRPr="001C71BD" w:rsidRDefault="001C71BD" w:rsidP="001C71BD">
      <w:pPr>
        <w:pStyle w:val="Bibliography"/>
        <w:rPr>
          <w:rFonts w:ascii="Calibri" w:hAnsi="Calibri" w:cs="Calibri"/>
        </w:rPr>
      </w:pPr>
      <w:r w:rsidRPr="001C71BD">
        <w:rPr>
          <w:rFonts w:ascii="Calibri" w:hAnsi="Calibri" w:cs="Calibri"/>
        </w:rPr>
        <w:t xml:space="preserve">20. </w:t>
      </w:r>
      <w:r w:rsidRPr="001C71BD">
        <w:rPr>
          <w:rFonts w:ascii="Calibri" w:hAnsi="Calibri" w:cs="Calibri"/>
        </w:rPr>
        <w:tab/>
        <w:t xml:space="preserve">Gallardo TD, John GB, Shirley L, Contreras CM, </w:t>
      </w:r>
      <w:proofErr w:type="spellStart"/>
      <w:r w:rsidRPr="001C71BD">
        <w:rPr>
          <w:rFonts w:ascii="Calibri" w:hAnsi="Calibri" w:cs="Calibri"/>
        </w:rPr>
        <w:t>Akbay</w:t>
      </w:r>
      <w:proofErr w:type="spellEnd"/>
      <w:r w:rsidRPr="001C71BD">
        <w:rPr>
          <w:rFonts w:ascii="Calibri" w:hAnsi="Calibri" w:cs="Calibri"/>
        </w:rPr>
        <w:t xml:space="preserve"> EA, Haynie JM, Ward SE, Shidler MJ, </w:t>
      </w:r>
      <w:proofErr w:type="spellStart"/>
      <w:r w:rsidRPr="001C71BD">
        <w:rPr>
          <w:rFonts w:ascii="Calibri" w:hAnsi="Calibri" w:cs="Calibri"/>
        </w:rPr>
        <w:t>Castrillon</w:t>
      </w:r>
      <w:proofErr w:type="spellEnd"/>
      <w:r w:rsidRPr="001C71BD">
        <w:rPr>
          <w:rFonts w:ascii="Calibri" w:hAnsi="Calibri" w:cs="Calibri"/>
        </w:rPr>
        <w:t xml:space="preserve"> DH. </w:t>
      </w:r>
      <w:proofErr w:type="spellStart"/>
      <w:r w:rsidRPr="001C71BD">
        <w:rPr>
          <w:rFonts w:ascii="Calibri" w:hAnsi="Calibri" w:cs="Calibri"/>
        </w:rPr>
        <w:t>Genomewide</w:t>
      </w:r>
      <w:proofErr w:type="spellEnd"/>
      <w:r w:rsidRPr="001C71BD">
        <w:rPr>
          <w:rFonts w:ascii="Calibri" w:hAnsi="Calibri" w:cs="Calibri"/>
        </w:rPr>
        <w:t xml:space="preserve"> discovery and classification of candidate ovarian fertility genes in the mouse. </w:t>
      </w:r>
      <w:r w:rsidRPr="001C71BD">
        <w:rPr>
          <w:rFonts w:ascii="Calibri" w:hAnsi="Calibri" w:cs="Calibri"/>
          <w:i/>
          <w:iCs/>
        </w:rPr>
        <w:t>Genetics</w:t>
      </w:r>
      <w:r w:rsidRPr="001C71BD">
        <w:rPr>
          <w:rFonts w:ascii="Calibri" w:hAnsi="Calibri" w:cs="Calibri"/>
        </w:rPr>
        <w:t xml:space="preserve"> 2007;177(1):179–194.</w:t>
      </w:r>
    </w:p>
    <w:p w14:paraId="092FC49D" w14:textId="77777777" w:rsidR="001C71BD" w:rsidRPr="001C71BD" w:rsidRDefault="001C71BD" w:rsidP="001C71BD">
      <w:pPr>
        <w:pStyle w:val="Bibliography"/>
        <w:rPr>
          <w:rFonts w:ascii="Calibri" w:hAnsi="Calibri" w:cs="Calibri"/>
        </w:rPr>
      </w:pPr>
      <w:r w:rsidRPr="001C71BD">
        <w:rPr>
          <w:rFonts w:ascii="Calibri" w:hAnsi="Calibri" w:cs="Calibri"/>
        </w:rPr>
        <w:t xml:space="preserve">21. </w:t>
      </w:r>
      <w:r w:rsidRPr="001C71BD">
        <w:rPr>
          <w:rFonts w:ascii="Calibri" w:hAnsi="Calibri" w:cs="Calibri"/>
        </w:rPr>
        <w:tab/>
        <w:t xml:space="preserve">Richards JS, Fan H-Y, Liu Z, Tsoi M, </w:t>
      </w:r>
      <w:proofErr w:type="spellStart"/>
      <w:r w:rsidRPr="001C71BD">
        <w:rPr>
          <w:rFonts w:ascii="Calibri" w:hAnsi="Calibri" w:cs="Calibri"/>
        </w:rPr>
        <w:t>Laguë</w:t>
      </w:r>
      <w:proofErr w:type="spellEnd"/>
      <w:r w:rsidRPr="001C71BD">
        <w:rPr>
          <w:rFonts w:ascii="Calibri" w:hAnsi="Calibri" w:cs="Calibri"/>
        </w:rPr>
        <w:t xml:space="preserve"> M-N, Boyer A, </w:t>
      </w:r>
      <w:proofErr w:type="spellStart"/>
      <w:r w:rsidRPr="001C71BD">
        <w:rPr>
          <w:rFonts w:ascii="Calibri" w:hAnsi="Calibri" w:cs="Calibri"/>
        </w:rPr>
        <w:t>Boerboom</w:t>
      </w:r>
      <w:proofErr w:type="spellEnd"/>
      <w:r w:rsidRPr="001C71BD">
        <w:rPr>
          <w:rFonts w:ascii="Calibri" w:hAnsi="Calibri" w:cs="Calibri"/>
        </w:rPr>
        <w:t xml:space="preserve"> D. Either </w:t>
      </w:r>
      <w:proofErr w:type="spellStart"/>
      <w:r w:rsidRPr="001C71BD">
        <w:rPr>
          <w:rFonts w:ascii="Calibri" w:hAnsi="Calibri" w:cs="Calibri"/>
        </w:rPr>
        <w:t>Kras</w:t>
      </w:r>
      <w:proofErr w:type="spellEnd"/>
      <w:r w:rsidRPr="001C71BD">
        <w:rPr>
          <w:rFonts w:ascii="Calibri" w:hAnsi="Calibri" w:cs="Calibri"/>
        </w:rPr>
        <w:t xml:space="preserve"> activation or </w:t>
      </w:r>
      <w:proofErr w:type="spellStart"/>
      <w:r w:rsidRPr="001C71BD">
        <w:rPr>
          <w:rFonts w:ascii="Calibri" w:hAnsi="Calibri" w:cs="Calibri"/>
        </w:rPr>
        <w:t>Pten</w:t>
      </w:r>
      <w:proofErr w:type="spellEnd"/>
      <w:r w:rsidRPr="001C71BD">
        <w:rPr>
          <w:rFonts w:ascii="Calibri" w:hAnsi="Calibri" w:cs="Calibri"/>
        </w:rPr>
        <w:t xml:space="preserve"> loss similarly enhance the dominant-stable CTNNB1-induced genetic program to promote granulosa cell tumor development in </w:t>
      </w:r>
      <w:proofErr w:type="gramStart"/>
      <w:r w:rsidRPr="001C71BD">
        <w:rPr>
          <w:rFonts w:ascii="Calibri" w:hAnsi="Calibri" w:cs="Calibri"/>
        </w:rPr>
        <w:t>the  ovary</w:t>
      </w:r>
      <w:proofErr w:type="gramEnd"/>
      <w:r w:rsidRPr="001C71BD">
        <w:rPr>
          <w:rFonts w:ascii="Calibri" w:hAnsi="Calibri" w:cs="Calibri"/>
        </w:rPr>
        <w:t xml:space="preserve"> and testis. </w:t>
      </w:r>
      <w:r w:rsidRPr="001C71BD">
        <w:rPr>
          <w:rFonts w:ascii="Calibri" w:hAnsi="Calibri" w:cs="Calibri"/>
          <w:i/>
          <w:iCs/>
        </w:rPr>
        <w:t>Oncogene</w:t>
      </w:r>
      <w:r w:rsidRPr="001C71BD">
        <w:rPr>
          <w:rFonts w:ascii="Calibri" w:hAnsi="Calibri" w:cs="Calibri"/>
        </w:rPr>
        <w:t xml:space="preserve"> 2012;31(12):1504–1520.</w:t>
      </w:r>
    </w:p>
    <w:p w14:paraId="08967ACE" w14:textId="77777777" w:rsidR="001C71BD" w:rsidRPr="001C71BD" w:rsidRDefault="001C71BD" w:rsidP="001C71BD">
      <w:pPr>
        <w:pStyle w:val="Bibliography"/>
        <w:rPr>
          <w:rFonts w:ascii="Calibri" w:hAnsi="Calibri" w:cs="Calibri"/>
        </w:rPr>
      </w:pPr>
      <w:r w:rsidRPr="001C71BD">
        <w:rPr>
          <w:rFonts w:ascii="Calibri" w:hAnsi="Calibri" w:cs="Calibri"/>
        </w:rPr>
        <w:t xml:space="preserve">22. </w:t>
      </w:r>
      <w:r w:rsidRPr="001C71BD">
        <w:rPr>
          <w:rFonts w:ascii="Calibri" w:hAnsi="Calibri" w:cs="Calibri"/>
        </w:rPr>
        <w:tab/>
        <w:t xml:space="preserve">Luo Y, </w:t>
      </w:r>
      <w:proofErr w:type="spellStart"/>
      <w:r w:rsidRPr="001C71BD">
        <w:rPr>
          <w:rFonts w:ascii="Calibri" w:hAnsi="Calibri" w:cs="Calibri"/>
        </w:rPr>
        <w:t>Qiao</w:t>
      </w:r>
      <w:proofErr w:type="spellEnd"/>
      <w:r w:rsidRPr="001C71BD">
        <w:rPr>
          <w:rFonts w:ascii="Calibri" w:hAnsi="Calibri" w:cs="Calibri"/>
        </w:rPr>
        <w:t xml:space="preserve"> X, Ma Y, Deng H, Xu CC, Xu L. Irisin deletion induces a decrease in growth and fertility in mice. </w:t>
      </w:r>
      <w:proofErr w:type="spellStart"/>
      <w:r w:rsidRPr="001C71BD">
        <w:rPr>
          <w:rFonts w:ascii="Calibri" w:hAnsi="Calibri" w:cs="Calibri"/>
          <w:i/>
          <w:iCs/>
        </w:rPr>
        <w:t>Reprod</w:t>
      </w:r>
      <w:proofErr w:type="spellEnd"/>
      <w:r w:rsidRPr="001C71BD">
        <w:rPr>
          <w:rFonts w:ascii="Calibri" w:hAnsi="Calibri" w:cs="Calibri"/>
          <w:i/>
          <w:iCs/>
        </w:rPr>
        <w:t xml:space="preserve"> Biol Endocrinol</w:t>
      </w:r>
      <w:r w:rsidRPr="001C71BD">
        <w:rPr>
          <w:rFonts w:ascii="Calibri" w:hAnsi="Calibri" w:cs="Calibri"/>
        </w:rPr>
        <w:t xml:space="preserve"> 2021;19(1):22.</w:t>
      </w:r>
    </w:p>
    <w:p w14:paraId="0FF1D40E" w14:textId="77777777" w:rsidR="001C71BD" w:rsidRPr="001C71BD" w:rsidRDefault="001C71BD" w:rsidP="001C71BD">
      <w:pPr>
        <w:pStyle w:val="Bibliography"/>
        <w:rPr>
          <w:rFonts w:ascii="Calibri" w:hAnsi="Calibri" w:cs="Calibri"/>
        </w:rPr>
      </w:pPr>
      <w:r w:rsidRPr="001C71BD">
        <w:rPr>
          <w:rFonts w:ascii="Calibri" w:hAnsi="Calibri" w:cs="Calibri"/>
        </w:rPr>
        <w:t xml:space="preserve">23. </w:t>
      </w:r>
      <w:r w:rsidRPr="001C71BD">
        <w:rPr>
          <w:rFonts w:ascii="Calibri" w:hAnsi="Calibri" w:cs="Calibri"/>
        </w:rPr>
        <w:tab/>
        <w:t xml:space="preserve">Pallier C, </w:t>
      </w:r>
      <w:proofErr w:type="spellStart"/>
      <w:r w:rsidRPr="001C71BD">
        <w:rPr>
          <w:rFonts w:ascii="Calibri" w:hAnsi="Calibri" w:cs="Calibri"/>
        </w:rPr>
        <w:t>Scaffidi</w:t>
      </w:r>
      <w:proofErr w:type="spellEnd"/>
      <w:r w:rsidRPr="001C71BD">
        <w:rPr>
          <w:rFonts w:ascii="Calibri" w:hAnsi="Calibri" w:cs="Calibri"/>
        </w:rPr>
        <w:t xml:space="preserve"> P, </w:t>
      </w:r>
      <w:proofErr w:type="spellStart"/>
      <w:r w:rsidRPr="001C71BD">
        <w:rPr>
          <w:rFonts w:ascii="Calibri" w:hAnsi="Calibri" w:cs="Calibri"/>
        </w:rPr>
        <w:t>Chopineau</w:t>
      </w:r>
      <w:proofErr w:type="spellEnd"/>
      <w:r w:rsidRPr="001C71BD">
        <w:rPr>
          <w:rFonts w:ascii="Calibri" w:hAnsi="Calibri" w:cs="Calibri"/>
        </w:rPr>
        <w:t xml:space="preserve">-Proust S, </w:t>
      </w:r>
      <w:proofErr w:type="spellStart"/>
      <w:r w:rsidRPr="001C71BD">
        <w:rPr>
          <w:rFonts w:ascii="Calibri" w:hAnsi="Calibri" w:cs="Calibri"/>
        </w:rPr>
        <w:t>Agresti</w:t>
      </w:r>
      <w:proofErr w:type="spellEnd"/>
      <w:r w:rsidRPr="001C71BD">
        <w:rPr>
          <w:rFonts w:ascii="Calibri" w:hAnsi="Calibri" w:cs="Calibri"/>
        </w:rPr>
        <w:t xml:space="preserve"> A, Nordmann P, Bianchi ME, Marechal V. Association of chromatin proteins high mobility group box (HMGB) 1 and HMGB2 with mitotic chromosomes. </w:t>
      </w:r>
      <w:r w:rsidRPr="001C71BD">
        <w:rPr>
          <w:rFonts w:ascii="Calibri" w:hAnsi="Calibri" w:cs="Calibri"/>
          <w:i/>
          <w:iCs/>
        </w:rPr>
        <w:t>Mol Biol Cell</w:t>
      </w:r>
      <w:r w:rsidRPr="001C71BD">
        <w:rPr>
          <w:rFonts w:ascii="Calibri" w:hAnsi="Calibri" w:cs="Calibri"/>
        </w:rPr>
        <w:t xml:space="preserve"> 2003;14(8):3414–3426.</w:t>
      </w:r>
    </w:p>
    <w:p w14:paraId="4B60DECC" w14:textId="77777777" w:rsidR="001C71BD" w:rsidRPr="001C71BD" w:rsidRDefault="001C71BD" w:rsidP="001C71BD">
      <w:pPr>
        <w:pStyle w:val="Bibliography"/>
        <w:rPr>
          <w:rFonts w:ascii="Calibri" w:hAnsi="Calibri" w:cs="Calibri"/>
        </w:rPr>
      </w:pPr>
      <w:r w:rsidRPr="001C71BD">
        <w:rPr>
          <w:rFonts w:ascii="Calibri" w:hAnsi="Calibri" w:cs="Calibri"/>
        </w:rPr>
        <w:t xml:space="preserve">24. </w:t>
      </w:r>
      <w:r w:rsidRPr="001C71BD">
        <w:rPr>
          <w:rFonts w:ascii="Calibri" w:hAnsi="Calibri" w:cs="Calibri"/>
        </w:rPr>
        <w:tab/>
        <w:t xml:space="preserve">Zhao Z-H, Ma J-Y, Meng T-G, Wang Z-B, Yue W, Zhou Q, Li S, Feng X, Hou Y, </w:t>
      </w:r>
      <w:proofErr w:type="spellStart"/>
      <w:r w:rsidRPr="001C71BD">
        <w:rPr>
          <w:rFonts w:ascii="Calibri" w:hAnsi="Calibri" w:cs="Calibri"/>
        </w:rPr>
        <w:t>Schatten</w:t>
      </w:r>
      <w:proofErr w:type="spellEnd"/>
      <w:r w:rsidRPr="001C71BD">
        <w:rPr>
          <w:rFonts w:ascii="Calibri" w:hAnsi="Calibri" w:cs="Calibri"/>
        </w:rPr>
        <w:t xml:space="preserve"> H, </w:t>
      </w:r>
      <w:proofErr w:type="spellStart"/>
      <w:r w:rsidRPr="001C71BD">
        <w:rPr>
          <w:rFonts w:ascii="Calibri" w:hAnsi="Calibri" w:cs="Calibri"/>
        </w:rPr>
        <w:t>Ou</w:t>
      </w:r>
      <w:proofErr w:type="spellEnd"/>
      <w:r w:rsidRPr="001C71BD">
        <w:rPr>
          <w:rFonts w:ascii="Calibri" w:hAnsi="Calibri" w:cs="Calibri"/>
        </w:rPr>
        <w:t xml:space="preserve"> X-H, Sun Q-Y. Single-cell RNA sequencing reveals the landscape of early female germ cell development. </w:t>
      </w:r>
      <w:r w:rsidRPr="001C71BD">
        <w:rPr>
          <w:rFonts w:ascii="Calibri" w:hAnsi="Calibri" w:cs="Calibri"/>
          <w:i/>
          <w:iCs/>
        </w:rPr>
        <w:t>FASEB J</w:t>
      </w:r>
      <w:r w:rsidRPr="001C71BD">
        <w:rPr>
          <w:rFonts w:ascii="Calibri" w:hAnsi="Calibri" w:cs="Calibri"/>
        </w:rPr>
        <w:t xml:space="preserve"> 2020;34(9):12634–12645.</w:t>
      </w:r>
    </w:p>
    <w:p w14:paraId="5E501D69" w14:textId="77777777" w:rsidR="001C71BD" w:rsidRPr="001C71BD" w:rsidRDefault="001C71BD" w:rsidP="001C71BD">
      <w:pPr>
        <w:pStyle w:val="Bibliography"/>
        <w:rPr>
          <w:rFonts w:ascii="Calibri" w:hAnsi="Calibri" w:cs="Calibri"/>
        </w:rPr>
      </w:pPr>
      <w:r w:rsidRPr="001C71BD">
        <w:rPr>
          <w:rFonts w:ascii="Calibri" w:hAnsi="Calibri" w:cs="Calibri"/>
        </w:rPr>
        <w:t xml:space="preserve">25. </w:t>
      </w:r>
      <w:r w:rsidRPr="001C71BD">
        <w:rPr>
          <w:rFonts w:ascii="Calibri" w:hAnsi="Calibri" w:cs="Calibri"/>
        </w:rPr>
        <w:tab/>
        <w:t xml:space="preserve">Chun SY, McGee EA, Hsu SY, Minami S, </w:t>
      </w:r>
      <w:proofErr w:type="spellStart"/>
      <w:r w:rsidRPr="001C71BD">
        <w:rPr>
          <w:rFonts w:ascii="Calibri" w:hAnsi="Calibri" w:cs="Calibri"/>
        </w:rPr>
        <w:t>LaPolt</w:t>
      </w:r>
      <w:proofErr w:type="spellEnd"/>
      <w:r w:rsidRPr="001C71BD">
        <w:rPr>
          <w:rFonts w:ascii="Calibri" w:hAnsi="Calibri" w:cs="Calibri"/>
        </w:rPr>
        <w:t xml:space="preserve"> PS, Yao HH, Bahr JM, </w:t>
      </w:r>
      <w:proofErr w:type="spellStart"/>
      <w:r w:rsidRPr="001C71BD">
        <w:rPr>
          <w:rFonts w:ascii="Calibri" w:hAnsi="Calibri" w:cs="Calibri"/>
        </w:rPr>
        <w:t>Gougeon</w:t>
      </w:r>
      <w:proofErr w:type="spellEnd"/>
      <w:r w:rsidRPr="001C71BD">
        <w:rPr>
          <w:rFonts w:ascii="Calibri" w:hAnsi="Calibri" w:cs="Calibri"/>
        </w:rPr>
        <w:t xml:space="preserve"> A, </w:t>
      </w:r>
      <w:proofErr w:type="spellStart"/>
      <w:r w:rsidRPr="001C71BD">
        <w:rPr>
          <w:rFonts w:ascii="Calibri" w:hAnsi="Calibri" w:cs="Calibri"/>
        </w:rPr>
        <w:t>Schomberg</w:t>
      </w:r>
      <w:proofErr w:type="spellEnd"/>
      <w:r w:rsidRPr="001C71BD">
        <w:rPr>
          <w:rFonts w:ascii="Calibri" w:hAnsi="Calibri" w:cs="Calibri"/>
        </w:rPr>
        <w:t xml:space="preserve"> DW, Hsueh AJ. Restricted expression of WT1 messenger ribonucleic acid in immature ovarian follicles: uniformity in mammalian and avian species and maintenance </w:t>
      </w:r>
      <w:proofErr w:type="gramStart"/>
      <w:r w:rsidRPr="001C71BD">
        <w:rPr>
          <w:rFonts w:ascii="Calibri" w:hAnsi="Calibri" w:cs="Calibri"/>
        </w:rPr>
        <w:t>during  reproductive</w:t>
      </w:r>
      <w:proofErr w:type="gramEnd"/>
      <w:r w:rsidRPr="001C71BD">
        <w:rPr>
          <w:rFonts w:ascii="Calibri" w:hAnsi="Calibri" w:cs="Calibri"/>
        </w:rPr>
        <w:t xml:space="preserve"> senescence. </w:t>
      </w:r>
      <w:r w:rsidRPr="001C71BD">
        <w:rPr>
          <w:rFonts w:ascii="Calibri" w:hAnsi="Calibri" w:cs="Calibri"/>
          <w:i/>
          <w:iCs/>
        </w:rPr>
        <w:t xml:space="preserve">Biol </w:t>
      </w:r>
      <w:proofErr w:type="spellStart"/>
      <w:r w:rsidRPr="001C71BD">
        <w:rPr>
          <w:rFonts w:ascii="Calibri" w:hAnsi="Calibri" w:cs="Calibri"/>
          <w:i/>
          <w:iCs/>
        </w:rPr>
        <w:t>Reprod</w:t>
      </w:r>
      <w:proofErr w:type="spellEnd"/>
      <w:r w:rsidRPr="001C71BD">
        <w:rPr>
          <w:rFonts w:ascii="Calibri" w:hAnsi="Calibri" w:cs="Calibri"/>
        </w:rPr>
        <w:t xml:space="preserve"> 1999;60(2):365–373.</w:t>
      </w:r>
    </w:p>
    <w:p w14:paraId="4285352A" w14:textId="77777777" w:rsidR="001C71BD" w:rsidRPr="001C71BD" w:rsidRDefault="001C71BD" w:rsidP="001C71BD">
      <w:pPr>
        <w:pStyle w:val="Bibliography"/>
        <w:rPr>
          <w:rFonts w:ascii="Calibri" w:hAnsi="Calibri" w:cs="Calibri"/>
        </w:rPr>
      </w:pPr>
      <w:r w:rsidRPr="001C71BD">
        <w:rPr>
          <w:rFonts w:ascii="Calibri" w:hAnsi="Calibri" w:cs="Calibri"/>
        </w:rPr>
        <w:t xml:space="preserve">26. </w:t>
      </w:r>
      <w:r w:rsidRPr="001C71BD">
        <w:rPr>
          <w:rFonts w:ascii="Calibri" w:hAnsi="Calibri" w:cs="Calibri"/>
        </w:rPr>
        <w:tab/>
        <w:t xml:space="preserve">Gao F, Zhang J, Wang X, Yang J, Chen D, Huff V, Liu Y-X. Wt1 functions in ovarian follicle development by regulating granulosa cell differentiation. </w:t>
      </w:r>
      <w:r w:rsidRPr="001C71BD">
        <w:rPr>
          <w:rFonts w:ascii="Calibri" w:hAnsi="Calibri" w:cs="Calibri"/>
          <w:i/>
          <w:iCs/>
        </w:rPr>
        <w:t>Hum Mol Genet</w:t>
      </w:r>
      <w:r w:rsidRPr="001C71BD">
        <w:rPr>
          <w:rFonts w:ascii="Calibri" w:hAnsi="Calibri" w:cs="Calibri"/>
        </w:rPr>
        <w:t xml:space="preserve"> 2014;23(2):333–341.</w:t>
      </w:r>
    </w:p>
    <w:p w14:paraId="0B5554F1" w14:textId="77777777" w:rsidR="001C71BD" w:rsidRPr="001C71BD" w:rsidRDefault="001C71BD" w:rsidP="001C71BD">
      <w:pPr>
        <w:pStyle w:val="Bibliography"/>
        <w:rPr>
          <w:rFonts w:ascii="Calibri" w:hAnsi="Calibri" w:cs="Calibri"/>
        </w:rPr>
      </w:pPr>
      <w:r w:rsidRPr="001C71BD">
        <w:rPr>
          <w:rFonts w:ascii="Calibri" w:hAnsi="Calibri" w:cs="Calibri"/>
        </w:rPr>
        <w:lastRenderedPageBreak/>
        <w:t xml:space="preserve">27. </w:t>
      </w:r>
      <w:r w:rsidRPr="001C71BD">
        <w:rPr>
          <w:rFonts w:ascii="Calibri" w:hAnsi="Calibri" w:cs="Calibri"/>
        </w:rPr>
        <w:tab/>
        <w:t xml:space="preserve">Park M, Choi Y, Choi H, </w:t>
      </w:r>
      <w:proofErr w:type="spellStart"/>
      <w:r w:rsidRPr="001C71BD">
        <w:rPr>
          <w:rFonts w:ascii="Calibri" w:hAnsi="Calibri" w:cs="Calibri"/>
        </w:rPr>
        <w:t>Roh</w:t>
      </w:r>
      <w:proofErr w:type="spellEnd"/>
      <w:r w:rsidRPr="001C71BD">
        <w:rPr>
          <w:rFonts w:ascii="Calibri" w:hAnsi="Calibri" w:cs="Calibri"/>
        </w:rPr>
        <w:t xml:space="preserve"> J. Wilms’ tumor suppressor gene (WT1) suppresses apoptosis by transcriptionally downregulating BAX expression in immature rat granulosa cells. </w:t>
      </w:r>
      <w:r w:rsidRPr="001C71BD">
        <w:rPr>
          <w:rFonts w:ascii="Calibri" w:hAnsi="Calibri" w:cs="Calibri"/>
          <w:i/>
          <w:iCs/>
        </w:rPr>
        <w:t>J Ovarian Res</w:t>
      </w:r>
      <w:r w:rsidRPr="001C71BD">
        <w:rPr>
          <w:rFonts w:ascii="Calibri" w:hAnsi="Calibri" w:cs="Calibri"/>
        </w:rPr>
        <w:t xml:space="preserve"> </w:t>
      </w:r>
      <w:proofErr w:type="gramStart"/>
      <w:r w:rsidRPr="001C71BD">
        <w:rPr>
          <w:rFonts w:ascii="Calibri" w:hAnsi="Calibri" w:cs="Calibri"/>
        </w:rPr>
        <w:t>2014;7:118</w:t>
      </w:r>
      <w:proofErr w:type="gramEnd"/>
      <w:r w:rsidRPr="001C71BD">
        <w:rPr>
          <w:rFonts w:ascii="Calibri" w:hAnsi="Calibri" w:cs="Calibri"/>
        </w:rPr>
        <w:t>.</w:t>
      </w:r>
    </w:p>
    <w:p w14:paraId="63A85C5E" w14:textId="77777777" w:rsidR="001C71BD" w:rsidRPr="001C71BD" w:rsidRDefault="001C71BD" w:rsidP="001C71BD">
      <w:pPr>
        <w:pStyle w:val="Bibliography"/>
        <w:rPr>
          <w:rFonts w:ascii="Calibri" w:hAnsi="Calibri" w:cs="Calibri"/>
        </w:rPr>
      </w:pPr>
      <w:r w:rsidRPr="001C71BD">
        <w:rPr>
          <w:rFonts w:ascii="Calibri" w:hAnsi="Calibri" w:cs="Calibri"/>
        </w:rPr>
        <w:t xml:space="preserve">28. </w:t>
      </w:r>
      <w:r w:rsidRPr="001C71BD">
        <w:rPr>
          <w:rFonts w:ascii="Calibri" w:hAnsi="Calibri" w:cs="Calibri"/>
        </w:rPr>
        <w:tab/>
        <w:t xml:space="preserve">Gassmann R, Carvalho A, </w:t>
      </w:r>
      <w:proofErr w:type="spellStart"/>
      <w:r w:rsidRPr="001C71BD">
        <w:rPr>
          <w:rFonts w:ascii="Calibri" w:hAnsi="Calibri" w:cs="Calibri"/>
        </w:rPr>
        <w:t>Henzing</w:t>
      </w:r>
      <w:proofErr w:type="spellEnd"/>
      <w:r w:rsidRPr="001C71BD">
        <w:rPr>
          <w:rFonts w:ascii="Calibri" w:hAnsi="Calibri" w:cs="Calibri"/>
        </w:rPr>
        <w:t xml:space="preserve"> AJ, </w:t>
      </w:r>
      <w:proofErr w:type="spellStart"/>
      <w:r w:rsidRPr="001C71BD">
        <w:rPr>
          <w:rFonts w:ascii="Calibri" w:hAnsi="Calibri" w:cs="Calibri"/>
        </w:rPr>
        <w:t>Ruchaud</w:t>
      </w:r>
      <w:proofErr w:type="spellEnd"/>
      <w:r w:rsidRPr="001C71BD">
        <w:rPr>
          <w:rFonts w:ascii="Calibri" w:hAnsi="Calibri" w:cs="Calibri"/>
        </w:rPr>
        <w:t xml:space="preserve"> S, Hudson DF, Honda R, </w:t>
      </w:r>
      <w:proofErr w:type="spellStart"/>
      <w:r w:rsidRPr="001C71BD">
        <w:rPr>
          <w:rFonts w:ascii="Calibri" w:hAnsi="Calibri" w:cs="Calibri"/>
        </w:rPr>
        <w:t>Nigg</w:t>
      </w:r>
      <w:proofErr w:type="spellEnd"/>
      <w:r w:rsidRPr="001C71BD">
        <w:rPr>
          <w:rFonts w:ascii="Calibri" w:hAnsi="Calibri" w:cs="Calibri"/>
        </w:rPr>
        <w:t xml:space="preserve"> EA, </w:t>
      </w:r>
      <w:proofErr w:type="spellStart"/>
      <w:r w:rsidRPr="001C71BD">
        <w:rPr>
          <w:rFonts w:ascii="Calibri" w:hAnsi="Calibri" w:cs="Calibri"/>
        </w:rPr>
        <w:t>Gerloff</w:t>
      </w:r>
      <w:proofErr w:type="spellEnd"/>
      <w:r w:rsidRPr="001C71BD">
        <w:rPr>
          <w:rFonts w:ascii="Calibri" w:hAnsi="Calibri" w:cs="Calibri"/>
        </w:rPr>
        <w:t xml:space="preserve"> DL, Earnshaw WC. </w:t>
      </w:r>
      <w:proofErr w:type="spellStart"/>
      <w:r w:rsidRPr="001C71BD">
        <w:rPr>
          <w:rFonts w:ascii="Calibri" w:hAnsi="Calibri" w:cs="Calibri"/>
        </w:rPr>
        <w:t>Borealin</w:t>
      </w:r>
      <w:proofErr w:type="spellEnd"/>
      <w:r w:rsidRPr="001C71BD">
        <w:rPr>
          <w:rFonts w:ascii="Calibri" w:hAnsi="Calibri" w:cs="Calibri"/>
        </w:rPr>
        <w:t xml:space="preserve">: a novel chromosomal passenger required for stability of the bipolar mitotic spindle. </w:t>
      </w:r>
      <w:r w:rsidRPr="001C71BD">
        <w:rPr>
          <w:rFonts w:ascii="Calibri" w:hAnsi="Calibri" w:cs="Calibri"/>
          <w:i/>
          <w:iCs/>
        </w:rPr>
        <w:t>J Cell Biol</w:t>
      </w:r>
      <w:r w:rsidRPr="001C71BD">
        <w:rPr>
          <w:rFonts w:ascii="Calibri" w:hAnsi="Calibri" w:cs="Calibri"/>
        </w:rPr>
        <w:t xml:space="preserve"> 2004;166(2):179–191.</w:t>
      </w:r>
    </w:p>
    <w:p w14:paraId="4CEC728A" w14:textId="77777777" w:rsidR="001C71BD" w:rsidRPr="001C71BD" w:rsidRDefault="001C71BD" w:rsidP="001C71BD">
      <w:pPr>
        <w:pStyle w:val="Bibliography"/>
        <w:rPr>
          <w:rFonts w:ascii="Calibri" w:hAnsi="Calibri" w:cs="Calibri"/>
        </w:rPr>
      </w:pPr>
      <w:r w:rsidRPr="001C71BD">
        <w:rPr>
          <w:rFonts w:ascii="Calibri" w:hAnsi="Calibri" w:cs="Calibri"/>
        </w:rPr>
        <w:t xml:space="preserve">29. </w:t>
      </w:r>
      <w:r w:rsidRPr="001C71BD">
        <w:rPr>
          <w:rFonts w:ascii="Calibri" w:hAnsi="Calibri" w:cs="Calibri"/>
        </w:rPr>
        <w:tab/>
      </w:r>
      <w:proofErr w:type="spellStart"/>
      <w:r w:rsidRPr="001C71BD">
        <w:rPr>
          <w:rFonts w:ascii="Calibri" w:hAnsi="Calibri" w:cs="Calibri"/>
        </w:rPr>
        <w:t>Bertolin</w:t>
      </w:r>
      <w:proofErr w:type="spellEnd"/>
      <w:r w:rsidRPr="001C71BD">
        <w:rPr>
          <w:rFonts w:ascii="Calibri" w:hAnsi="Calibri" w:cs="Calibri"/>
        </w:rPr>
        <w:t xml:space="preserve"> K, Meinsohn M-C, Suzuki J, </w:t>
      </w:r>
      <w:proofErr w:type="spellStart"/>
      <w:r w:rsidRPr="001C71BD">
        <w:rPr>
          <w:rFonts w:ascii="Calibri" w:hAnsi="Calibri" w:cs="Calibri"/>
        </w:rPr>
        <w:t>Gossen</w:t>
      </w:r>
      <w:proofErr w:type="spellEnd"/>
      <w:r w:rsidRPr="001C71BD">
        <w:rPr>
          <w:rFonts w:ascii="Calibri" w:hAnsi="Calibri" w:cs="Calibri"/>
        </w:rPr>
        <w:t xml:space="preserve"> J, </w:t>
      </w:r>
      <w:proofErr w:type="spellStart"/>
      <w:r w:rsidRPr="001C71BD">
        <w:rPr>
          <w:rFonts w:ascii="Calibri" w:hAnsi="Calibri" w:cs="Calibri"/>
        </w:rPr>
        <w:t>Schoonjans</w:t>
      </w:r>
      <w:proofErr w:type="spellEnd"/>
      <w:r w:rsidRPr="001C71BD">
        <w:rPr>
          <w:rFonts w:ascii="Calibri" w:hAnsi="Calibri" w:cs="Calibri"/>
        </w:rPr>
        <w:t xml:space="preserve"> K, </w:t>
      </w:r>
      <w:proofErr w:type="spellStart"/>
      <w:r w:rsidRPr="001C71BD">
        <w:rPr>
          <w:rFonts w:ascii="Calibri" w:hAnsi="Calibri" w:cs="Calibri"/>
        </w:rPr>
        <w:t>Duggavathi</w:t>
      </w:r>
      <w:proofErr w:type="spellEnd"/>
      <w:r w:rsidRPr="001C71BD">
        <w:rPr>
          <w:rFonts w:ascii="Calibri" w:hAnsi="Calibri" w:cs="Calibri"/>
        </w:rPr>
        <w:t xml:space="preserve"> R, Murphy BD. Ovary-specific depletion of the nuclear receptor Nr5a2 compromises expansion of the cumulus </w:t>
      </w:r>
      <w:proofErr w:type="spellStart"/>
      <w:r w:rsidRPr="001C71BD">
        <w:rPr>
          <w:rFonts w:ascii="Calibri" w:hAnsi="Calibri" w:cs="Calibri"/>
        </w:rPr>
        <w:t>oophorus</w:t>
      </w:r>
      <w:proofErr w:type="spellEnd"/>
      <w:r w:rsidRPr="001C71BD">
        <w:rPr>
          <w:rFonts w:ascii="Calibri" w:hAnsi="Calibri" w:cs="Calibri"/>
        </w:rPr>
        <w:t xml:space="preserve"> but not fertilization by intracytoplasmic sperm injection. </w:t>
      </w:r>
      <w:r w:rsidRPr="001C71BD">
        <w:rPr>
          <w:rFonts w:ascii="Calibri" w:hAnsi="Calibri" w:cs="Calibri"/>
          <w:i/>
          <w:iCs/>
        </w:rPr>
        <w:t xml:space="preserve">Biol </w:t>
      </w:r>
      <w:proofErr w:type="spellStart"/>
      <w:r w:rsidRPr="001C71BD">
        <w:rPr>
          <w:rFonts w:ascii="Calibri" w:hAnsi="Calibri" w:cs="Calibri"/>
          <w:i/>
          <w:iCs/>
        </w:rPr>
        <w:t>Reprod</w:t>
      </w:r>
      <w:proofErr w:type="spellEnd"/>
      <w:r w:rsidRPr="001C71BD">
        <w:rPr>
          <w:rFonts w:ascii="Calibri" w:hAnsi="Calibri" w:cs="Calibri"/>
        </w:rPr>
        <w:t xml:space="preserve"> 2017;96(6):1231–1243.</w:t>
      </w:r>
    </w:p>
    <w:p w14:paraId="25F303A8" w14:textId="77777777" w:rsidR="001C71BD" w:rsidRPr="001C71BD" w:rsidRDefault="001C71BD" w:rsidP="001C71BD">
      <w:pPr>
        <w:pStyle w:val="Bibliography"/>
        <w:rPr>
          <w:rFonts w:ascii="Calibri" w:hAnsi="Calibri" w:cs="Calibri"/>
          <w:lang w:val="fr-FR"/>
        </w:rPr>
      </w:pPr>
      <w:r w:rsidRPr="001C71BD">
        <w:rPr>
          <w:rFonts w:ascii="Calibri" w:hAnsi="Calibri" w:cs="Calibri"/>
        </w:rPr>
        <w:t xml:space="preserve">30. </w:t>
      </w:r>
      <w:r w:rsidRPr="001C71BD">
        <w:rPr>
          <w:rFonts w:ascii="Calibri" w:hAnsi="Calibri" w:cs="Calibri"/>
        </w:rPr>
        <w:tab/>
        <w:t xml:space="preserve">Wang S, Liu W, Pang X, Dai S, Liu G. The Mechanism of Melatonin and Its Receptor MT2 Involved in the Development of Bovine Granulosa Cells. </w:t>
      </w:r>
      <w:r w:rsidRPr="001C71BD">
        <w:rPr>
          <w:rFonts w:ascii="Calibri" w:hAnsi="Calibri" w:cs="Calibri"/>
          <w:i/>
          <w:iCs/>
          <w:lang w:val="fr-FR"/>
        </w:rPr>
        <w:t xml:space="preserve">Int J Mol </w:t>
      </w:r>
      <w:proofErr w:type="spellStart"/>
      <w:r w:rsidRPr="001C71BD">
        <w:rPr>
          <w:rFonts w:ascii="Calibri" w:hAnsi="Calibri" w:cs="Calibri"/>
          <w:i/>
          <w:iCs/>
          <w:lang w:val="fr-FR"/>
        </w:rPr>
        <w:t>Sci</w:t>
      </w:r>
      <w:proofErr w:type="spellEnd"/>
      <w:r w:rsidRPr="001C71BD">
        <w:rPr>
          <w:rFonts w:ascii="Calibri" w:hAnsi="Calibri" w:cs="Calibri"/>
          <w:lang w:val="fr-FR"/>
        </w:rPr>
        <w:t xml:space="preserve"> </w:t>
      </w:r>
      <w:proofErr w:type="gramStart"/>
      <w:r w:rsidRPr="001C71BD">
        <w:rPr>
          <w:rFonts w:ascii="Calibri" w:hAnsi="Calibri" w:cs="Calibri"/>
          <w:lang w:val="fr-FR"/>
        </w:rPr>
        <w:t>2018;</w:t>
      </w:r>
      <w:proofErr w:type="gramEnd"/>
      <w:r w:rsidRPr="001C71BD">
        <w:rPr>
          <w:rFonts w:ascii="Calibri" w:hAnsi="Calibri" w:cs="Calibri"/>
          <w:lang w:val="fr-FR"/>
        </w:rPr>
        <w:t xml:space="preserve">19(7). </w:t>
      </w:r>
      <w:proofErr w:type="gramStart"/>
      <w:r w:rsidRPr="001C71BD">
        <w:rPr>
          <w:rFonts w:ascii="Calibri" w:hAnsi="Calibri" w:cs="Calibri"/>
          <w:lang w:val="fr-FR"/>
        </w:rPr>
        <w:t>doi:</w:t>
      </w:r>
      <w:proofErr w:type="gramEnd"/>
      <w:r w:rsidRPr="001C71BD">
        <w:rPr>
          <w:rFonts w:ascii="Calibri" w:hAnsi="Calibri" w:cs="Calibri"/>
          <w:lang w:val="fr-FR"/>
        </w:rPr>
        <w:t>10.3390/ijms19072028.</w:t>
      </w:r>
    </w:p>
    <w:p w14:paraId="76E0109B" w14:textId="77777777" w:rsidR="001C71BD" w:rsidRPr="001C71BD" w:rsidRDefault="001C71BD" w:rsidP="001C71BD">
      <w:pPr>
        <w:pStyle w:val="Bibliography"/>
        <w:rPr>
          <w:rFonts w:ascii="Calibri" w:hAnsi="Calibri" w:cs="Calibri"/>
        </w:rPr>
      </w:pPr>
      <w:r w:rsidRPr="001C71BD">
        <w:rPr>
          <w:rFonts w:ascii="Calibri" w:hAnsi="Calibri" w:cs="Calibri"/>
          <w:lang w:val="fr-FR"/>
        </w:rPr>
        <w:t xml:space="preserve">31. </w:t>
      </w:r>
      <w:r w:rsidRPr="001C71BD">
        <w:rPr>
          <w:rFonts w:ascii="Calibri" w:hAnsi="Calibri" w:cs="Calibri"/>
          <w:lang w:val="fr-FR"/>
        </w:rPr>
        <w:tab/>
        <w:t xml:space="preserve">Jones MC, </w:t>
      </w:r>
      <w:proofErr w:type="spellStart"/>
      <w:r w:rsidRPr="001C71BD">
        <w:rPr>
          <w:rFonts w:ascii="Calibri" w:hAnsi="Calibri" w:cs="Calibri"/>
          <w:lang w:val="fr-FR"/>
        </w:rPr>
        <w:t>Zha</w:t>
      </w:r>
      <w:proofErr w:type="spellEnd"/>
      <w:r w:rsidRPr="001C71BD">
        <w:rPr>
          <w:rFonts w:ascii="Calibri" w:hAnsi="Calibri" w:cs="Calibri"/>
          <w:lang w:val="fr-FR"/>
        </w:rPr>
        <w:t xml:space="preserve"> J, </w:t>
      </w:r>
      <w:proofErr w:type="spellStart"/>
      <w:r w:rsidRPr="001C71BD">
        <w:rPr>
          <w:rFonts w:ascii="Calibri" w:hAnsi="Calibri" w:cs="Calibri"/>
          <w:lang w:val="fr-FR"/>
        </w:rPr>
        <w:t>Humphries</w:t>
      </w:r>
      <w:proofErr w:type="spellEnd"/>
      <w:r w:rsidRPr="001C71BD">
        <w:rPr>
          <w:rFonts w:ascii="Calibri" w:hAnsi="Calibri" w:cs="Calibri"/>
          <w:lang w:val="fr-FR"/>
        </w:rPr>
        <w:t xml:space="preserve"> MJ. </w:t>
      </w:r>
      <w:r w:rsidRPr="001C71BD">
        <w:rPr>
          <w:rFonts w:ascii="Calibri" w:hAnsi="Calibri" w:cs="Calibri"/>
        </w:rPr>
        <w:t xml:space="preserve">Connections between the cell cycle, cell adhesion and the cytoskeleton. </w:t>
      </w:r>
      <w:proofErr w:type="spellStart"/>
      <w:r w:rsidRPr="001C71BD">
        <w:rPr>
          <w:rFonts w:ascii="Calibri" w:hAnsi="Calibri" w:cs="Calibri"/>
          <w:i/>
          <w:iCs/>
        </w:rPr>
        <w:t>Philos</w:t>
      </w:r>
      <w:proofErr w:type="spellEnd"/>
      <w:r w:rsidRPr="001C71BD">
        <w:rPr>
          <w:rFonts w:ascii="Calibri" w:hAnsi="Calibri" w:cs="Calibri"/>
          <w:i/>
          <w:iCs/>
        </w:rPr>
        <w:t xml:space="preserve"> Trans R Soc </w:t>
      </w:r>
      <w:proofErr w:type="spellStart"/>
      <w:r w:rsidRPr="001C71BD">
        <w:rPr>
          <w:rFonts w:ascii="Calibri" w:hAnsi="Calibri" w:cs="Calibri"/>
          <w:i/>
          <w:iCs/>
        </w:rPr>
        <w:t>Lond</w:t>
      </w:r>
      <w:proofErr w:type="spellEnd"/>
      <w:r w:rsidRPr="001C71BD">
        <w:rPr>
          <w:rFonts w:ascii="Calibri" w:hAnsi="Calibri" w:cs="Calibri"/>
          <w:i/>
          <w:iCs/>
        </w:rPr>
        <w:t xml:space="preserve"> B Biol Sci</w:t>
      </w:r>
      <w:r w:rsidRPr="001C71BD">
        <w:rPr>
          <w:rFonts w:ascii="Calibri" w:hAnsi="Calibri" w:cs="Calibri"/>
        </w:rPr>
        <w:t xml:space="preserve"> 2019;374(1779):20180227.</w:t>
      </w:r>
    </w:p>
    <w:p w14:paraId="0CE9FC94" w14:textId="77777777" w:rsidR="001C71BD" w:rsidRPr="001C71BD" w:rsidRDefault="001C71BD" w:rsidP="001C71BD">
      <w:pPr>
        <w:pStyle w:val="Bibliography"/>
        <w:rPr>
          <w:rFonts w:ascii="Calibri" w:hAnsi="Calibri" w:cs="Calibri"/>
        </w:rPr>
      </w:pPr>
      <w:r w:rsidRPr="001C71BD">
        <w:rPr>
          <w:rFonts w:ascii="Calibri" w:hAnsi="Calibri" w:cs="Calibri"/>
        </w:rPr>
        <w:t xml:space="preserve">32. </w:t>
      </w:r>
      <w:r w:rsidRPr="001C71BD">
        <w:rPr>
          <w:rFonts w:ascii="Calibri" w:hAnsi="Calibri" w:cs="Calibri"/>
        </w:rPr>
        <w:tab/>
      </w:r>
      <w:proofErr w:type="spellStart"/>
      <w:r w:rsidRPr="001C71BD">
        <w:rPr>
          <w:rFonts w:ascii="Calibri" w:hAnsi="Calibri" w:cs="Calibri"/>
        </w:rPr>
        <w:t>Akaiwa</w:t>
      </w:r>
      <w:proofErr w:type="spellEnd"/>
      <w:r w:rsidRPr="001C71BD">
        <w:rPr>
          <w:rFonts w:ascii="Calibri" w:hAnsi="Calibri" w:cs="Calibri"/>
        </w:rPr>
        <w:t xml:space="preserve"> M, Fukui E, Matsumoto H. Tubulointerstitial nephritis antigen-like 1 deficiency alleviates age-dependent depressed ovulation associated with ovarian collagen deposition in mice. </w:t>
      </w:r>
      <w:proofErr w:type="spellStart"/>
      <w:r w:rsidRPr="001C71BD">
        <w:rPr>
          <w:rFonts w:ascii="Calibri" w:hAnsi="Calibri" w:cs="Calibri"/>
          <w:i/>
          <w:iCs/>
        </w:rPr>
        <w:t>Reprod</w:t>
      </w:r>
      <w:proofErr w:type="spellEnd"/>
      <w:r w:rsidRPr="001C71BD">
        <w:rPr>
          <w:rFonts w:ascii="Calibri" w:hAnsi="Calibri" w:cs="Calibri"/>
          <w:i/>
          <w:iCs/>
        </w:rPr>
        <w:t xml:space="preserve"> Med Biol</w:t>
      </w:r>
      <w:r w:rsidRPr="001C71BD">
        <w:rPr>
          <w:rFonts w:ascii="Calibri" w:hAnsi="Calibri" w:cs="Calibri"/>
        </w:rPr>
        <w:t xml:space="preserve"> 2020;19(1):50–57.</w:t>
      </w:r>
    </w:p>
    <w:p w14:paraId="078B6D65" w14:textId="77777777" w:rsidR="001C71BD" w:rsidRPr="001C71BD" w:rsidRDefault="001C71BD" w:rsidP="001C71BD">
      <w:pPr>
        <w:pStyle w:val="Bibliography"/>
        <w:rPr>
          <w:rFonts w:ascii="Calibri" w:hAnsi="Calibri" w:cs="Calibri"/>
        </w:rPr>
      </w:pPr>
      <w:r w:rsidRPr="001C71BD">
        <w:rPr>
          <w:rFonts w:ascii="Calibri" w:hAnsi="Calibri" w:cs="Calibri"/>
        </w:rPr>
        <w:t xml:space="preserve">33. </w:t>
      </w:r>
      <w:r w:rsidRPr="001C71BD">
        <w:rPr>
          <w:rFonts w:ascii="Calibri" w:hAnsi="Calibri" w:cs="Calibri"/>
        </w:rPr>
        <w:tab/>
        <w:t xml:space="preserve">Nakagawa S, Shimada M, </w:t>
      </w:r>
      <w:proofErr w:type="spellStart"/>
      <w:r w:rsidRPr="001C71BD">
        <w:rPr>
          <w:rFonts w:ascii="Calibri" w:hAnsi="Calibri" w:cs="Calibri"/>
        </w:rPr>
        <w:t>Yanaka</w:t>
      </w:r>
      <w:proofErr w:type="spellEnd"/>
      <w:r w:rsidRPr="001C71BD">
        <w:rPr>
          <w:rFonts w:ascii="Calibri" w:hAnsi="Calibri" w:cs="Calibri"/>
        </w:rPr>
        <w:t xml:space="preserve"> K, Mito M, Arai T, Takahashi E, Fujita Y, Fujimori T, </w:t>
      </w:r>
      <w:proofErr w:type="spellStart"/>
      <w:r w:rsidRPr="001C71BD">
        <w:rPr>
          <w:rFonts w:ascii="Calibri" w:hAnsi="Calibri" w:cs="Calibri"/>
        </w:rPr>
        <w:t>Standaert</w:t>
      </w:r>
      <w:proofErr w:type="spellEnd"/>
      <w:r w:rsidRPr="001C71BD">
        <w:rPr>
          <w:rFonts w:ascii="Calibri" w:hAnsi="Calibri" w:cs="Calibri"/>
        </w:rPr>
        <w:t xml:space="preserve"> L, Marine J-C, Hirose T. The lncRNA Neat1 is required for corpus luteum formation and the establishment of pregnancy in a subpopulation of mice. </w:t>
      </w:r>
      <w:r w:rsidRPr="001C71BD">
        <w:rPr>
          <w:rFonts w:ascii="Calibri" w:hAnsi="Calibri" w:cs="Calibri"/>
          <w:i/>
          <w:iCs/>
        </w:rPr>
        <w:t>Development</w:t>
      </w:r>
      <w:r w:rsidRPr="001C71BD">
        <w:rPr>
          <w:rFonts w:ascii="Calibri" w:hAnsi="Calibri" w:cs="Calibri"/>
        </w:rPr>
        <w:t xml:space="preserve"> 2014;141(23):4618–4627.</w:t>
      </w:r>
    </w:p>
    <w:p w14:paraId="0AF074F1" w14:textId="77777777" w:rsidR="001C71BD" w:rsidRPr="001C71BD" w:rsidRDefault="001C71BD" w:rsidP="001C71BD">
      <w:pPr>
        <w:pStyle w:val="Bibliography"/>
        <w:rPr>
          <w:rFonts w:ascii="Calibri" w:hAnsi="Calibri" w:cs="Calibri"/>
        </w:rPr>
      </w:pPr>
      <w:r w:rsidRPr="001C71BD">
        <w:rPr>
          <w:rFonts w:ascii="Calibri" w:hAnsi="Calibri" w:cs="Calibri"/>
        </w:rPr>
        <w:t xml:space="preserve">34. </w:t>
      </w:r>
      <w:r w:rsidRPr="001C71BD">
        <w:rPr>
          <w:rFonts w:ascii="Calibri" w:hAnsi="Calibri" w:cs="Calibri"/>
        </w:rPr>
        <w:tab/>
      </w:r>
      <w:proofErr w:type="spellStart"/>
      <w:r w:rsidRPr="001C71BD">
        <w:rPr>
          <w:rFonts w:ascii="Calibri" w:hAnsi="Calibri" w:cs="Calibri"/>
        </w:rPr>
        <w:t>Bellanger</w:t>
      </w:r>
      <w:proofErr w:type="spellEnd"/>
      <w:r w:rsidRPr="001C71BD">
        <w:rPr>
          <w:rFonts w:ascii="Calibri" w:hAnsi="Calibri" w:cs="Calibri"/>
        </w:rPr>
        <w:t xml:space="preserve"> S, de </w:t>
      </w:r>
      <w:proofErr w:type="spellStart"/>
      <w:r w:rsidRPr="001C71BD">
        <w:rPr>
          <w:rFonts w:ascii="Calibri" w:hAnsi="Calibri" w:cs="Calibri"/>
        </w:rPr>
        <w:t>Gramont</w:t>
      </w:r>
      <w:proofErr w:type="spellEnd"/>
      <w:r w:rsidRPr="001C71BD">
        <w:rPr>
          <w:rFonts w:ascii="Calibri" w:hAnsi="Calibri" w:cs="Calibri"/>
        </w:rPr>
        <w:t xml:space="preserve"> A, </w:t>
      </w:r>
      <w:proofErr w:type="spellStart"/>
      <w:r w:rsidRPr="001C71BD">
        <w:rPr>
          <w:rFonts w:ascii="Calibri" w:hAnsi="Calibri" w:cs="Calibri"/>
        </w:rPr>
        <w:t>Sobczak-Thépot</w:t>
      </w:r>
      <w:proofErr w:type="spellEnd"/>
      <w:r w:rsidRPr="001C71BD">
        <w:rPr>
          <w:rFonts w:ascii="Calibri" w:hAnsi="Calibri" w:cs="Calibri"/>
        </w:rPr>
        <w:t xml:space="preserve"> J. Cyclin B2 suppresses mitotic failure and DNA re-replication in human somatic cells knocked down for both cyclins B1 and B2. </w:t>
      </w:r>
      <w:r w:rsidRPr="001C71BD">
        <w:rPr>
          <w:rFonts w:ascii="Calibri" w:hAnsi="Calibri" w:cs="Calibri"/>
          <w:i/>
          <w:iCs/>
        </w:rPr>
        <w:t>Oncogene</w:t>
      </w:r>
      <w:r w:rsidRPr="001C71BD">
        <w:rPr>
          <w:rFonts w:ascii="Calibri" w:hAnsi="Calibri" w:cs="Calibri"/>
        </w:rPr>
        <w:t xml:space="preserve"> 2007;26(51):7175–7184.</w:t>
      </w:r>
    </w:p>
    <w:p w14:paraId="45C2EC56" w14:textId="77777777" w:rsidR="001C71BD" w:rsidRPr="001C71BD" w:rsidRDefault="001C71BD" w:rsidP="001C71BD">
      <w:pPr>
        <w:pStyle w:val="Bibliography"/>
        <w:rPr>
          <w:rFonts w:ascii="Calibri" w:hAnsi="Calibri" w:cs="Calibri"/>
        </w:rPr>
      </w:pPr>
      <w:r w:rsidRPr="001C71BD">
        <w:rPr>
          <w:rFonts w:ascii="Calibri" w:hAnsi="Calibri" w:cs="Calibri"/>
        </w:rPr>
        <w:t xml:space="preserve">35. </w:t>
      </w:r>
      <w:r w:rsidRPr="001C71BD">
        <w:rPr>
          <w:rFonts w:ascii="Calibri" w:hAnsi="Calibri" w:cs="Calibri"/>
        </w:rPr>
        <w:tab/>
        <w:t xml:space="preserve">Huang Y, </w:t>
      </w:r>
      <w:proofErr w:type="spellStart"/>
      <w:r w:rsidRPr="001C71BD">
        <w:rPr>
          <w:rFonts w:ascii="Calibri" w:hAnsi="Calibri" w:cs="Calibri"/>
        </w:rPr>
        <w:t>Sramkoski</w:t>
      </w:r>
      <w:proofErr w:type="spellEnd"/>
      <w:r w:rsidRPr="001C71BD">
        <w:rPr>
          <w:rFonts w:ascii="Calibri" w:hAnsi="Calibri" w:cs="Calibri"/>
        </w:rPr>
        <w:t xml:space="preserve"> RM, </w:t>
      </w:r>
      <w:proofErr w:type="spellStart"/>
      <w:r w:rsidRPr="001C71BD">
        <w:rPr>
          <w:rFonts w:ascii="Calibri" w:hAnsi="Calibri" w:cs="Calibri"/>
        </w:rPr>
        <w:t>Jacobberger</w:t>
      </w:r>
      <w:proofErr w:type="spellEnd"/>
      <w:r w:rsidRPr="001C71BD">
        <w:rPr>
          <w:rFonts w:ascii="Calibri" w:hAnsi="Calibri" w:cs="Calibri"/>
        </w:rPr>
        <w:t xml:space="preserve"> JW. The kinetics of G2 and M transitions regulated by B cyclins. </w:t>
      </w:r>
      <w:proofErr w:type="spellStart"/>
      <w:r w:rsidRPr="001C71BD">
        <w:rPr>
          <w:rFonts w:ascii="Calibri" w:hAnsi="Calibri" w:cs="Calibri"/>
          <w:i/>
          <w:iCs/>
        </w:rPr>
        <w:t>PLoS</w:t>
      </w:r>
      <w:proofErr w:type="spellEnd"/>
      <w:r w:rsidRPr="001C71BD">
        <w:rPr>
          <w:rFonts w:ascii="Calibri" w:hAnsi="Calibri" w:cs="Calibri"/>
          <w:i/>
          <w:iCs/>
        </w:rPr>
        <w:t xml:space="preserve"> One</w:t>
      </w:r>
      <w:r w:rsidRPr="001C71BD">
        <w:rPr>
          <w:rFonts w:ascii="Calibri" w:hAnsi="Calibri" w:cs="Calibri"/>
        </w:rPr>
        <w:t xml:space="preserve"> 2013;8(12</w:t>
      </w:r>
      <w:proofErr w:type="gramStart"/>
      <w:r w:rsidRPr="001C71BD">
        <w:rPr>
          <w:rFonts w:ascii="Calibri" w:hAnsi="Calibri" w:cs="Calibri"/>
        </w:rPr>
        <w:t>):e</w:t>
      </w:r>
      <w:proofErr w:type="gramEnd"/>
      <w:r w:rsidRPr="001C71BD">
        <w:rPr>
          <w:rFonts w:ascii="Calibri" w:hAnsi="Calibri" w:cs="Calibri"/>
        </w:rPr>
        <w:t>80861.</w:t>
      </w:r>
    </w:p>
    <w:p w14:paraId="61F16E37" w14:textId="77777777" w:rsidR="001C71BD" w:rsidRPr="001C71BD" w:rsidRDefault="001C71BD" w:rsidP="001C71BD">
      <w:pPr>
        <w:pStyle w:val="Bibliography"/>
        <w:rPr>
          <w:rFonts w:ascii="Calibri" w:hAnsi="Calibri" w:cs="Calibri"/>
        </w:rPr>
      </w:pPr>
      <w:r w:rsidRPr="001C71BD">
        <w:rPr>
          <w:rFonts w:ascii="Calibri" w:hAnsi="Calibri" w:cs="Calibri"/>
        </w:rPr>
        <w:t xml:space="preserve">36. </w:t>
      </w:r>
      <w:r w:rsidRPr="001C71BD">
        <w:rPr>
          <w:rFonts w:ascii="Calibri" w:hAnsi="Calibri" w:cs="Calibri"/>
        </w:rPr>
        <w:tab/>
        <w:t xml:space="preserve">Berisha B, </w:t>
      </w:r>
      <w:proofErr w:type="spellStart"/>
      <w:r w:rsidRPr="001C71BD">
        <w:rPr>
          <w:rFonts w:ascii="Calibri" w:hAnsi="Calibri" w:cs="Calibri"/>
        </w:rPr>
        <w:t>Rodler</w:t>
      </w:r>
      <w:proofErr w:type="spellEnd"/>
      <w:r w:rsidRPr="001C71BD">
        <w:rPr>
          <w:rFonts w:ascii="Calibri" w:hAnsi="Calibri" w:cs="Calibri"/>
        </w:rPr>
        <w:t xml:space="preserve"> D, </w:t>
      </w:r>
      <w:proofErr w:type="spellStart"/>
      <w:r w:rsidRPr="001C71BD">
        <w:rPr>
          <w:rFonts w:ascii="Calibri" w:hAnsi="Calibri" w:cs="Calibri"/>
        </w:rPr>
        <w:t>Schams</w:t>
      </w:r>
      <w:proofErr w:type="spellEnd"/>
      <w:r w:rsidRPr="001C71BD">
        <w:rPr>
          <w:rFonts w:ascii="Calibri" w:hAnsi="Calibri" w:cs="Calibri"/>
        </w:rPr>
        <w:t xml:space="preserve"> D, </w:t>
      </w:r>
      <w:proofErr w:type="spellStart"/>
      <w:r w:rsidRPr="001C71BD">
        <w:rPr>
          <w:rFonts w:ascii="Calibri" w:hAnsi="Calibri" w:cs="Calibri"/>
        </w:rPr>
        <w:t>Sinowatz</w:t>
      </w:r>
      <w:proofErr w:type="spellEnd"/>
      <w:r w:rsidRPr="001C71BD">
        <w:rPr>
          <w:rFonts w:ascii="Calibri" w:hAnsi="Calibri" w:cs="Calibri"/>
        </w:rPr>
        <w:t xml:space="preserve"> F, </w:t>
      </w:r>
      <w:proofErr w:type="spellStart"/>
      <w:r w:rsidRPr="001C71BD">
        <w:rPr>
          <w:rFonts w:ascii="Calibri" w:hAnsi="Calibri" w:cs="Calibri"/>
        </w:rPr>
        <w:t>Pfaffl</w:t>
      </w:r>
      <w:proofErr w:type="spellEnd"/>
      <w:r w:rsidRPr="001C71BD">
        <w:rPr>
          <w:rFonts w:ascii="Calibri" w:hAnsi="Calibri" w:cs="Calibri"/>
        </w:rPr>
        <w:t xml:space="preserve"> MW. Prostaglandins in Superovulation Induced Bovine Follicles During the Preovulatory Period and Early Corpus Luteum. </w:t>
      </w:r>
      <w:r w:rsidRPr="001C71BD">
        <w:rPr>
          <w:rFonts w:ascii="Calibri" w:hAnsi="Calibri" w:cs="Calibri"/>
          <w:i/>
          <w:iCs/>
        </w:rPr>
        <w:t>Front Endocrinol (Lausanne)</w:t>
      </w:r>
      <w:r w:rsidRPr="001C71BD">
        <w:rPr>
          <w:rFonts w:ascii="Calibri" w:hAnsi="Calibri" w:cs="Calibri"/>
        </w:rPr>
        <w:t xml:space="preserve"> </w:t>
      </w:r>
      <w:proofErr w:type="gramStart"/>
      <w:r w:rsidRPr="001C71BD">
        <w:rPr>
          <w:rFonts w:ascii="Calibri" w:hAnsi="Calibri" w:cs="Calibri"/>
        </w:rPr>
        <w:t>2019;10:467</w:t>
      </w:r>
      <w:proofErr w:type="gramEnd"/>
      <w:r w:rsidRPr="001C71BD">
        <w:rPr>
          <w:rFonts w:ascii="Calibri" w:hAnsi="Calibri" w:cs="Calibri"/>
        </w:rPr>
        <w:t>.</w:t>
      </w:r>
    </w:p>
    <w:p w14:paraId="061E1F0F" w14:textId="77777777" w:rsidR="001C71BD" w:rsidRPr="001C71BD" w:rsidRDefault="001C71BD" w:rsidP="001C71BD">
      <w:pPr>
        <w:pStyle w:val="Bibliography"/>
        <w:rPr>
          <w:rFonts w:ascii="Calibri" w:hAnsi="Calibri" w:cs="Calibri"/>
        </w:rPr>
      </w:pPr>
      <w:r w:rsidRPr="001C71BD">
        <w:rPr>
          <w:rFonts w:ascii="Calibri" w:hAnsi="Calibri" w:cs="Calibri"/>
        </w:rPr>
        <w:t xml:space="preserve">37. </w:t>
      </w:r>
      <w:r w:rsidRPr="001C71BD">
        <w:rPr>
          <w:rFonts w:ascii="Calibri" w:hAnsi="Calibri" w:cs="Calibri"/>
        </w:rPr>
        <w:tab/>
      </w:r>
      <w:proofErr w:type="spellStart"/>
      <w:r w:rsidRPr="001C71BD">
        <w:rPr>
          <w:rFonts w:ascii="Calibri" w:hAnsi="Calibri" w:cs="Calibri"/>
        </w:rPr>
        <w:t>Sayasith</w:t>
      </w:r>
      <w:proofErr w:type="spellEnd"/>
      <w:r w:rsidRPr="001C71BD">
        <w:rPr>
          <w:rFonts w:ascii="Calibri" w:hAnsi="Calibri" w:cs="Calibri"/>
        </w:rPr>
        <w:t xml:space="preserve"> K, Lussier J, Sirois J. Molecular characterization and transcriptional regulation of a </w:t>
      </w:r>
      <w:proofErr w:type="spellStart"/>
      <w:r w:rsidRPr="001C71BD">
        <w:rPr>
          <w:rFonts w:ascii="Calibri" w:hAnsi="Calibri" w:cs="Calibri"/>
        </w:rPr>
        <w:t>disintegrin</w:t>
      </w:r>
      <w:proofErr w:type="spellEnd"/>
      <w:r w:rsidRPr="001C71BD">
        <w:rPr>
          <w:rFonts w:ascii="Calibri" w:hAnsi="Calibri" w:cs="Calibri"/>
        </w:rPr>
        <w:t xml:space="preserve"> and metalloproteinase with thrombospondin motif 1 (ADAMTS1) in bovine </w:t>
      </w:r>
      <w:proofErr w:type="gramStart"/>
      <w:r w:rsidRPr="001C71BD">
        <w:rPr>
          <w:rFonts w:ascii="Calibri" w:hAnsi="Calibri" w:cs="Calibri"/>
        </w:rPr>
        <w:t>preovulatory  follicles</w:t>
      </w:r>
      <w:proofErr w:type="gramEnd"/>
      <w:r w:rsidRPr="001C71BD">
        <w:rPr>
          <w:rFonts w:ascii="Calibri" w:hAnsi="Calibri" w:cs="Calibri"/>
        </w:rPr>
        <w:t xml:space="preserve">. </w:t>
      </w:r>
      <w:r w:rsidRPr="001C71BD">
        <w:rPr>
          <w:rFonts w:ascii="Calibri" w:hAnsi="Calibri" w:cs="Calibri"/>
          <w:i/>
          <w:iCs/>
        </w:rPr>
        <w:t>Endocrinology</w:t>
      </w:r>
      <w:r w:rsidRPr="001C71BD">
        <w:rPr>
          <w:rFonts w:ascii="Calibri" w:hAnsi="Calibri" w:cs="Calibri"/>
        </w:rPr>
        <w:t xml:space="preserve"> 2013;154(8):2857–2869.</w:t>
      </w:r>
    </w:p>
    <w:p w14:paraId="4C9A2537" w14:textId="77777777" w:rsidR="001C71BD" w:rsidRPr="001C71BD" w:rsidRDefault="001C71BD" w:rsidP="001C71BD">
      <w:pPr>
        <w:pStyle w:val="Bibliography"/>
        <w:rPr>
          <w:rFonts w:ascii="Calibri" w:hAnsi="Calibri" w:cs="Calibri"/>
        </w:rPr>
      </w:pPr>
      <w:r w:rsidRPr="001C71BD">
        <w:rPr>
          <w:rFonts w:ascii="Calibri" w:hAnsi="Calibri" w:cs="Calibri"/>
        </w:rPr>
        <w:t xml:space="preserve">38. </w:t>
      </w:r>
      <w:r w:rsidRPr="001C71BD">
        <w:rPr>
          <w:rFonts w:ascii="Calibri" w:hAnsi="Calibri" w:cs="Calibri"/>
        </w:rPr>
        <w:tab/>
      </w:r>
      <w:proofErr w:type="spellStart"/>
      <w:r w:rsidRPr="001C71BD">
        <w:rPr>
          <w:rFonts w:ascii="Calibri" w:hAnsi="Calibri" w:cs="Calibri"/>
        </w:rPr>
        <w:t>Kfir</w:t>
      </w:r>
      <w:proofErr w:type="spellEnd"/>
      <w:r w:rsidRPr="001C71BD">
        <w:rPr>
          <w:rFonts w:ascii="Calibri" w:hAnsi="Calibri" w:cs="Calibri"/>
        </w:rPr>
        <w:t xml:space="preserve"> S, </w:t>
      </w:r>
      <w:proofErr w:type="spellStart"/>
      <w:r w:rsidRPr="001C71BD">
        <w:rPr>
          <w:rFonts w:ascii="Calibri" w:hAnsi="Calibri" w:cs="Calibri"/>
        </w:rPr>
        <w:t>Basavaraja</w:t>
      </w:r>
      <w:proofErr w:type="spellEnd"/>
      <w:r w:rsidRPr="001C71BD">
        <w:rPr>
          <w:rFonts w:ascii="Calibri" w:hAnsi="Calibri" w:cs="Calibri"/>
        </w:rPr>
        <w:t xml:space="preserve"> R, </w:t>
      </w:r>
      <w:proofErr w:type="spellStart"/>
      <w:r w:rsidRPr="001C71BD">
        <w:rPr>
          <w:rFonts w:ascii="Calibri" w:hAnsi="Calibri" w:cs="Calibri"/>
        </w:rPr>
        <w:t>Wigoda</w:t>
      </w:r>
      <w:proofErr w:type="spellEnd"/>
      <w:r w:rsidRPr="001C71BD">
        <w:rPr>
          <w:rFonts w:ascii="Calibri" w:hAnsi="Calibri" w:cs="Calibri"/>
        </w:rPr>
        <w:t xml:space="preserve"> N, Ben-</w:t>
      </w:r>
      <w:proofErr w:type="spellStart"/>
      <w:r w:rsidRPr="001C71BD">
        <w:rPr>
          <w:rFonts w:ascii="Calibri" w:hAnsi="Calibri" w:cs="Calibri"/>
        </w:rPr>
        <w:t>Dor</w:t>
      </w:r>
      <w:proofErr w:type="spellEnd"/>
      <w:r w:rsidRPr="001C71BD">
        <w:rPr>
          <w:rFonts w:ascii="Calibri" w:hAnsi="Calibri" w:cs="Calibri"/>
        </w:rPr>
        <w:t xml:space="preserve"> S, Orr I, </w:t>
      </w:r>
      <w:proofErr w:type="spellStart"/>
      <w:r w:rsidRPr="001C71BD">
        <w:rPr>
          <w:rFonts w:ascii="Calibri" w:hAnsi="Calibri" w:cs="Calibri"/>
        </w:rPr>
        <w:t>Meidan</w:t>
      </w:r>
      <w:proofErr w:type="spellEnd"/>
      <w:r w:rsidRPr="001C71BD">
        <w:rPr>
          <w:rFonts w:ascii="Calibri" w:hAnsi="Calibri" w:cs="Calibri"/>
        </w:rPr>
        <w:t xml:space="preserve"> R. Genomic profiling of bovine corpus luteum maturation. </w:t>
      </w:r>
      <w:proofErr w:type="spellStart"/>
      <w:r w:rsidRPr="001C71BD">
        <w:rPr>
          <w:rFonts w:ascii="Calibri" w:hAnsi="Calibri" w:cs="Calibri"/>
          <w:i/>
          <w:iCs/>
        </w:rPr>
        <w:t>PLoS</w:t>
      </w:r>
      <w:proofErr w:type="spellEnd"/>
      <w:r w:rsidRPr="001C71BD">
        <w:rPr>
          <w:rFonts w:ascii="Calibri" w:hAnsi="Calibri" w:cs="Calibri"/>
          <w:i/>
          <w:iCs/>
        </w:rPr>
        <w:t xml:space="preserve"> One</w:t>
      </w:r>
      <w:r w:rsidRPr="001C71BD">
        <w:rPr>
          <w:rFonts w:ascii="Calibri" w:hAnsi="Calibri" w:cs="Calibri"/>
        </w:rPr>
        <w:t xml:space="preserve"> 2018;13(3</w:t>
      </w:r>
      <w:proofErr w:type="gramStart"/>
      <w:r w:rsidRPr="001C71BD">
        <w:rPr>
          <w:rFonts w:ascii="Calibri" w:hAnsi="Calibri" w:cs="Calibri"/>
        </w:rPr>
        <w:t>):e</w:t>
      </w:r>
      <w:proofErr w:type="gramEnd"/>
      <w:r w:rsidRPr="001C71BD">
        <w:rPr>
          <w:rFonts w:ascii="Calibri" w:hAnsi="Calibri" w:cs="Calibri"/>
        </w:rPr>
        <w:t>0194456.</w:t>
      </w:r>
    </w:p>
    <w:p w14:paraId="5092939C" w14:textId="77777777" w:rsidR="001C71BD" w:rsidRPr="001C71BD" w:rsidRDefault="001C71BD" w:rsidP="001C71BD">
      <w:pPr>
        <w:pStyle w:val="Bibliography"/>
        <w:rPr>
          <w:rFonts w:ascii="Calibri" w:hAnsi="Calibri" w:cs="Calibri"/>
        </w:rPr>
      </w:pPr>
      <w:r w:rsidRPr="001C71BD">
        <w:rPr>
          <w:rFonts w:ascii="Calibri" w:hAnsi="Calibri" w:cs="Calibri"/>
        </w:rPr>
        <w:t xml:space="preserve">39. </w:t>
      </w:r>
      <w:r w:rsidRPr="001C71BD">
        <w:rPr>
          <w:rFonts w:ascii="Calibri" w:hAnsi="Calibri" w:cs="Calibri"/>
        </w:rPr>
        <w:tab/>
        <w:t xml:space="preserve">Tamura K, Matsushita M, Endo A, </w:t>
      </w:r>
      <w:proofErr w:type="spellStart"/>
      <w:r w:rsidRPr="001C71BD">
        <w:rPr>
          <w:rFonts w:ascii="Calibri" w:hAnsi="Calibri" w:cs="Calibri"/>
        </w:rPr>
        <w:t>Kutsukake</w:t>
      </w:r>
      <w:proofErr w:type="spellEnd"/>
      <w:r w:rsidRPr="001C71BD">
        <w:rPr>
          <w:rFonts w:ascii="Calibri" w:hAnsi="Calibri" w:cs="Calibri"/>
        </w:rPr>
        <w:t xml:space="preserve"> M, </w:t>
      </w:r>
      <w:proofErr w:type="spellStart"/>
      <w:r w:rsidRPr="001C71BD">
        <w:rPr>
          <w:rFonts w:ascii="Calibri" w:hAnsi="Calibri" w:cs="Calibri"/>
        </w:rPr>
        <w:t>Kogo</w:t>
      </w:r>
      <w:proofErr w:type="spellEnd"/>
      <w:r w:rsidRPr="001C71BD">
        <w:rPr>
          <w:rFonts w:ascii="Calibri" w:hAnsi="Calibri" w:cs="Calibri"/>
        </w:rPr>
        <w:t xml:space="preserve"> H. Effect of insulin-like growth factor-binding protein 7 on steroidogenesis in granulosa cells derived from equine chorionic gonadotropin-primed immature </w:t>
      </w:r>
      <w:proofErr w:type="gramStart"/>
      <w:r w:rsidRPr="001C71BD">
        <w:rPr>
          <w:rFonts w:ascii="Calibri" w:hAnsi="Calibri" w:cs="Calibri"/>
        </w:rPr>
        <w:t>rat  ovaries</w:t>
      </w:r>
      <w:proofErr w:type="gramEnd"/>
      <w:r w:rsidRPr="001C71BD">
        <w:rPr>
          <w:rFonts w:ascii="Calibri" w:hAnsi="Calibri" w:cs="Calibri"/>
        </w:rPr>
        <w:t xml:space="preserve">. </w:t>
      </w:r>
      <w:r w:rsidRPr="001C71BD">
        <w:rPr>
          <w:rFonts w:ascii="Calibri" w:hAnsi="Calibri" w:cs="Calibri"/>
          <w:i/>
          <w:iCs/>
        </w:rPr>
        <w:t xml:space="preserve">Biol </w:t>
      </w:r>
      <w:proofErr w:type="spellStart"/>
      <w:r w:rsidRPr="001C71BD">
        <w:rPr>
          <w:rFonts w:ascii="Calibri" w:hAnsi="Calibri" w:cs="Calibri"/>
          <w:i/>
          <w:iCs/>
        </w:rPr>
        <w:t>Reprod</w:t>
      </w:r>
      <w:proofErr w:type="spellEnd"/>
      <w:r w:rsidRPr="001C71BD">
        <w:rPr>
          <w:rFonts w:ascii="Calibri" w:hAnsi="Calibri" w:cs="Calibri"/>
        </w:rPr>
        <w:t xml:space="preserve"> 2007;77(3):485–491.</w:t>
      </w:r>
    </w:p>
    <w:p w14:paraId="22359F57" w14:textId="77777777" w:rsidR="001C71BD" w:rsidRPr="001C71BD" w:rsidRDefault="001C71BD" w:rsidP="001C71BD">
      <w:pPr>
        <w:pStyle w:val="Bibliography"/>
        <w:rPr>
          <w:rFonts w:ascii="Calibri" w:hAnsi="Calibri" w:cs="Calibri"/>
        </w:rPr>
      </w:pPr>
      <w:r w:rsidRPr="001C71BD">
        <w:rPr>
          <w:rFonts w:ascii="Calibri" w:hAnsi="Calibri" w:cs="Calibri"/>
        </w:rPr>
        <w:lastRenderedPageBreak/>
        <w:t xml:space="preserve">40. </w:t>
      </w:r>
      <w:r w:rsidRPr="001C71BD">
        <w:rPr>
          <w:rFonts w:ascii="Calibri" w:hAnsi="Calibri" w:cs="Calibri"/>
        </w:rPr>
        <w:tab/>
        <w:t xml:space="preserve">Duan WR, Parmer TG, </w:t>
      </w:r>
      <w:proofErr w:type="spellStart"/>
      <w:r w:rsidRPr="001C71BD">
        <w:rPr>
          <w:rFonts w:ascii="Calibri" w:hAnsi="Calibri" w:cs="Calibri"/>
        </w:rPr>
        <w:t>Albarracin</w:t>
      </w:r>
      <w:proofErr w:type="spellEnd"/>
      <w:r w:rsidRPr="001C71BD">
        <w:rPr>
          <w:rFonts w:ascii="Calibri" w:hAnsi="Calibri" w:cs="Calibri"/>
        </w:rPr>
        <w:t xml:space="preserve"> CT, Zhong L, </w:t>
      </w:r>
      <w:proofErr w:type="spellStart"/>
      <w:r w:rsidRPr="001C71BD">
        <w:rPr>
          <w:rFonts w:ascii="Calibri" w:hAnsi="Calibri" w:cs="Calibri"/>
        </w:rPr>
        <w:t>Gibori</w:t>
      </w:r>
      <w:proofErr w:type="spellEnd"/>
      <w:r w:rsidRPr="001C71BD">
        <w:rPr>
          <w:rFonts w:ascii="Calibri" w:hAnsi="Calibri" w:cs="Calibri"/>
        </w:rPr>
        <w:t xml:space="preserve"> G. PRAP, a prolactin receptor associated protein: its gene expression and regulation in the corpus luteum. </w:t>
      </w:r>
      <w:r w:rsidRPr="001C71BD">
        <w:rPr>
          <w:rFonts w:ascii="Calibri" w:hAnsi="Calibri" w:cs="Calibri"/>
          <w:i/>
          <w:iCs/>
        </w:rPr>
        <w:t>Endocrinology</w:t>
      </w:r>
      <w:r w:rsidRPr="001C71BD">
        <w:rPr>
          <w:rFonts w:ascii="Calibri" w:hAnsi="Calibri" w:cs="Calibri"/>
        </w:rPr>
        <w:t xml:space="preserve"> 1997;138(8):3216–3221.</w:t>
      </w:r>
    </w:p>
    <w:p w14:paraId="7E2E9402" w14:textId="77777777" w:rsidR="001C71BD" w:rsidRPr="001C71BD" w:rsidRDefault="001C71BD" w:rsidP="001C71BD">
      <w:pPr>
        <w:pStyle w:val="Bibliography"/>
        <w:rPr>
          <w:rFonts w:ascii="Calibri" w:hAnsi="Calibri" w:cs="Calibri"/>
        </w:rPr>
      </w:pPr>
      <w:r w:rsidRPr="001C71BD">
        <w:rPr>
          <w:rFonts w:ascii="Calibri" w:hAnsi="Calibri" w:cs="Calibri"/>
        </w:rPr>
        <w:t xml:space="preserve">41. </w:t>
      </w:r>
      <w:r w:rsidRPr="001C71BD">
        <w:rPr>
          <w:rFonts w:ascii="Calibri" w:hAnsi="Calibri" w:cs="Calibri"/>
        </w:rPr>
        <w:tab/>
      </w:r>
      <w:proofErr w:type="spellStart"/>
      <w:r w:rsidRPr="001C71BD">
        <w:rPr>
          <w:rFonts w:ascii="Calibri" w:hAnsi="Calibri" w:cs="Calibri"/>
        </w:rPr>
        <w:t>Hanaue</w:t>
      </w:r>
      <w:proofErr w:type="spellEnd"/>
      <w:r w:rsidRPr="001C71BD">
        <w:rPr>
          <w:rFonts w:ascii="Calibri" w:hAnsi="Calibri" w:cs="Calibri"/>
        </w:rPr>
        <w:t xml:space="preserve"> M, Miwa N, Takamatsu K. Immunohistochemical Characterization of S100A6 in the Murine Ovary. </w:t>
      </w:r>
      <w:r w:rsidRPr="001C71BD">
        <w:rPr>
          <w:rFonts w:ascii="Calibri" w:hAnsi="Calibri" w:cs="Calibri"/>
          <w:i/>
          <w:iCs/>
        </w:rPr>
        <w:t xml:space="preserve">Acta </w:t>
      </w:r>
      <w:proofErr w:type="spellStart"/>
      <w:r w:rsidRPr="001C71BD">
        <w:rPr>
          <w:rFonts w:ascii="Calibri" w:hAnsi="Calibri" w:cs="Calibri"/>
          <w:i/>
          <w:iCs/>
        </w:rPr>
        <w:t>Histochem</w:t>
      </w:r>
      <w:proofErr w:type="spellEnd"/>
      <w:r w:rsidRPr="001C71BD">
        <w:rPr>
          <w:rFonts w:ascii="Calibri" w:hAnsi="Calibri" w:cs="Calibri"/>
          <w:i/>
          <w:iCs/>
        </w:rPr>
        <w:t xml:space="preserve"> </w:t>
      </w:r>
      <w:proofErr w:type="spellStart"/>
      <w:r w:rsidRPr="001C71BD">
        <w:rPr>
          <w:rFonts w:ascii="Calibri" w:hAnsi="Calibri" w:cs="Calibri"/>
          <w:i/>
          <w:iCs/>
        </w:rPr>
        <w:t>Cytochem</w:t>
      </w:r>
      <w:proofErr w:type="spellEnd"/>
      <w:r w:rsidRPr="001C71BD">
        <w:rPr>
          <w:rFonts w:ascii="Calibri" w:hAnsi="Calibri" w:cs="Calibri"/>
        </w:rPr>
        <w:t xml:space="preserve"> 2012;45(1):9–14.</w:t>
      </w:r>
    </w:p>
    <w:p w14:paraId="5BF114E6" w14:textId="77777777" w:rsidR="001C71BD" w:rsidRPr="001C71BD" w:rsidRDefault="001C71BD" w:rsidP="001C71BD">
      <w:pPr>
        <w:pStyle w:val="Bibliography"/>
        <w:rPr>
          <w:rFonts w:ascii="Calibri" w:hAnsi="Calibri" w:cs="Calibri"/>
        </w:rPr>
      </w:pPr>
      <w:r w:rsidRPr="001C71BD">
        <w:rPr>
          <w:rFonts w:ascii="Calibri" w:hAnsi="Calibri" w:cs="Calibri"/>
        </w:rPr>
        <w:t xml:space="preserve">42. </w:t>
      </w:r>
      <w:r w:rsidRPr="001C71BD">
        <w:rPr>
          <w:rFonts w:ascii="Calibri" w:hAnsi="Calibri" w:cs="Calibri"/>
        </w:rPr>
        <w:tab/>
        <w:t xml:space="preserve">Wahlberg P, Nylander A, </w:t>
      </w:r>
      <w:proofErr w:type="spellStart"/>
      <w:r w:rsidRPr="001C71BD">
        <w:rPr>
          <w:rFonts w:ascii="Calibri" w:hAnsi="Calibri" w:cs="Calibri"/>
        </w:rPr>
        <w:t>Ahlskog</w:t>
      </w:r>
      <w:proofErr w:type="spellEnd"/>
      <w:r w:rsidRPr="001C71BD">
        <w:rPr>
          <w:rFonts w:ascii="Calibri" w:hAnsi="Calibri" w:cs="Calibri"/>
        </w:rPr>
        <w:t xml:space="preserve"> N, Liu K, Ny T. </w:t>
      </w:r>
      <w:proofErr w:type="gramStart"/>
      <w:r w:rsidRPr="001C71BD">
        <w:rPr>
          <w:rFonts w:ascii="Calibri" w:hAnsi="Calibri" w:cs="Calibri"/>
        </w:rPr>
        <w:t>Expression</w:t>
      </w:r>
      <w:proofErr w:type="gramEnd"/>
      <w:r w:rsidRPr="001C71BD">
        <w:rPr>
          <w:rFonts w:ascii="Calibri" w:hAnsi="Calibri" w:cs="Calibri"/>
        </w:rPr>
        <w:t xml:space="preserve"> and localization of the serine proteases high-temperature requirement factor A1, serine protease 23, and serine protease 35 in the mouse ovary. </w:t>
      </w:r>
      <w:r w:rsidRPr="001C71BD">
        <w:rPr>
          <w:rFonts w:ascii="Calibri" w:hAnsi="Calibri" w:cs="Calibri"/>
          <w:i/>
          <w:iCs/>
        </w:rPr>
        <w:t>Endocrinology</w:t>
      </w:r>
      <w:r w:rsidRPr="001C71BD">
        <w:rPr>
          <w:rFonts w:ascii="Calibri" w:hAnsi="Calibri" w:cs="Calibri"/>
        </w:rPr>
        <w:t xml:space="preserve"> 2008;149(10):5070–5077.</w:t>
      </w:r>
    </w:p>
    <w:p w14:paraId="4ABBA547" w14:textId="77777777" w:rsidR="001C71BD" w:rsidRPr="001C71BD" w:rsidRDefault="001C71BD" w:rsidP="001C71BD">
      <w:pPr>
        <w:pStyle w:val="Bibliography"/>
        <w:rPr>
          <w:rFonts w:ascii="Calibri" w:hAnsi="Calibri" w:cs="Calibri"/>
        </w:rPr>
      </w:pPr>
      <w:r w:rsidRPr="001C71BD">
        <w:rPr>
          <w:rFonts w:ascii="Calibri" w:hAnsi="Calibri" w:cs="Calibri"/>
        </w:rPr>
        <w:t xml:space="preserve">43. </w:t>
      </w:r>
      <w:r w:rsidRPr="001C71BD">
        <w:rPr>
          <w:rFonts w:ascii="Calibri" w:hAnsi="Calibri" w:cs="Calibri"/>
        </w:rPr>
        <w:tab/>
        <w:t>Hernandez-Gonzalez I, Gonzalez-</w:t>
      </w:r>
      <w:proofErr w:type="spellStart"/>
      <w:r w:rsidRPr="001C71BD">
        <w:rPr>
          <w:rFonts w:ascii="Calibri" w:hAnsi="Calibri" w:cs="Calibri"/>
        </w:rPr>
        <w:t>Robayna</w:t>
      </w:r>
      <w:proofErr w:type="spellEnd"/>
      <w:r w:rsidRPr="001C71BD">
        <w:rPr>
          <w:rFonts w:ascii="Calibri" w:hAnsi="Calibri" w:cs="Calibri"/>
        </w:rPr>
        <w:t xml:space="preserve"> I, Shimada M, Wayne CM, Ochsner SA, White L, Richards JS. Gene expression profiles of cumulus cell oocyte complexes during ovulation reveal cumulus cells express neuronal and immune-related genes: does this expand their </w:t>
      </w:r>
      <w:proofErr w:type="gramStart"/>
      <w:r w:rsidRPr="001C71BD">
        <w:rPr>
          <w:rFonts w:ascii="Calibri" w:hAnsi="Calibri" w:cs="Calibri"/>
        </w:rPr>
        <w:t>role  in</w:t>
      </w:r>
      <w:proofErr w:type="gramEnd"/>
      <w:r w:rsidRPr="001C71BD">
        <w:rPr>
          <w:rFonts w:ascii="Calibri" w:hAnsi="Calibri" w:cs="Calibri"/>
        </w:rPr>
        <w:t xml:space="preserve"> the ovulation process? </w:t>
      </w:r>
      <w:r w:rsidRPr="001C71BD">
        <w:rPr>
          <w:rFonts w:ascii="Calibri" w:hAnsi="Calibri" w:cs="Calibri"/>
          <w:i/>
          <w:iCs/>
        </w:rPr>
        <w:t>Mol Endocrinol</w:t>
      </w:r>
      <w:r w:rsidRPr="001C71BD">
        <w:rPr>
          <w:rFonts w:ascii="Calibri" w:hAnsi="Calibri" w:cs="Calibri"/>
        </w:rPr>
        <w:t xml:space="preserve"> 2006;20(6):1300–1321.</w:t>
      </w:r>
    </w:p>
    <w:p w14:paraId="1BC079F3" w14:textId="77777777" w:rsidR="001C71BD" w:rsidRPr="001C71BD" w:rsidRDefault="001C71BD" w:rsidP="001C71BD">
      <w:pPr>
        <w:pStyle w:val="Bibliography"/>
        <w:rPr>
          <w:rFonts w:ascii="Calibri" w:hAnsi="Calibri" w:cs="Calibri"/>
        </w:rPr>
      </w:pPr>
      <w:r w:rsidRPr="001C71BD">
        <w:rPr>
          <w:rFonts w:ascii="Calibri" w:hAnsi="Calibri" w:cs="Calibri"/>
        </w:rPr>
        <w:t xml:space="preserve">44. </w:t>
      </w:r>
      <w:r w:rsidRPr="001C71BD">
        <w:rPr>
          <w:rFonts w:ascii="Calibri" w:hAnsi="Calibri" w:cs="Calibri"/>
        </w:rPr>
        <w:tab/>
      </w:r>
      <w:proofErr w:type="spellStart"/>
      <w:r w:rsidRPr="001C71BD">
        <w:rPr>
          <w:rFonts w:ascii="Calibri" w:hAnsi="Calibri" w:cs="Calibri"/>
        </w:rPr>
        <w:t>Zamberlam</w:t>
      </w:r>
      <w:proofErr w:type="spellEnd"/>
      <w:r w:rsidRPr="001C71BD">
        <w:rPr>
          <w:rFonts w:ascii="Calibri" w:hAnsi="Calibri" w:cs="Calibri"/>
        </w:rPr>
        <w:t xml:space="preserve"> G, Lapointe E, </w:t>
      </w:r>
      <w:proofErr w:type="spellStart"/>
      <w:r w:rsidRPr="001C71BD">
        <w:rPr>
          <w:rFonts w:ascii="Calibri" w:hAnsi="Calibri" w:cs="Calibri"/>
        </w:rPr>
        <w:t>Abedini</w:t>
      </w:r>
      <w:proofErr w:type="spellEnd"/>
      <w:r w:rsidRPr="001C71BD">
        <w:rPr>
          <w:rFonts w:ascii="Calibri" w:hAnsi="Calibri" w:cs="Calibri"/>
        </w:rPr>
        <w:t xml:space="preserve"> A, Rico C, Godin P, Paquet M, </w:t>
      </w:r>
      <w:proofErr w:type="spellStart"/>
      <w:r w:rsidRPr="001C71BD">
        <w:rPr>
          <w:rFonts w:ascii="Calibri" w:hAnsi="Calibri" w:cs="Calibri"/>
        </w:rPr>
        <w:t>DeMayo</w:t>
      </w:r>
      <w:proofErr w:type="spellEnd"/>
      <w:r w:rsidRPr="001C71BD">
        <w:rPr>
          <w:rFonts w:ascii="Calibri" w:hAnsi="Calibri" w:cs="Calibri"/>
        </w:rPr>
        <w:t xml:space="preserve"> FJ, </w:t>
      </w:r>
      <w:proofErr w:type="spellStart"/>
      <w:r w:rsidRPr="001C71BD">
        <w:rPr>
          <w:rFonts w:ascii="Calibri" w:hAnsi="Calibri" w:cs="Calibri"/>
        </w:rPr>
        <w:t>Boerboom</w:t>
      </w:r>
      <w:proofErr w:type="spellEnd"/>
      <w:r w:rsidRPr="001C71BD">
        <w:rPr>
          <w:rFonts w:ascii="Calibri" w:hAnsi="Calibri" w:cs="Calibri"/>
        </w:rPr>
        <w:t xml:space="preserve"> D. SFRP4 Is a Negative Regulator of Ovarian Follicle Development and Female Fertility. </w:t>
      </w:r>
      <w:r w:rsidRPr="001C71BD">
        <w:rPr>
          <w:rFonts w:ascii="Calibri" w:hAnsi="Calibri" w:cs="Calibri"/>
          <w:i/>
          <w:iCs/>
        </w:rPr>
        <w:t>Endocrinology</w:t>
      </w:r>
      <w:r w:rsidRPr="001C71BD">
        <w:rPr>
          <w:rFonts w:ascii="Calibri" w:hAnsi="Calibri" w:cs="Calibri"/>
        </w:rPr>
        <w:t xml:space="preserve"> 2019;160(7):1561–1572.</w:t>
      </w:r>
    </w:p>
    <w:p w14:paraId="42131AFF" w14:textId="77777777" w:rsidR="001C71BD" w:rsidRPr="001C71BD" w:rsidRDefault="001C71BD" w:rsidP="001C71BD">
      <w:pPr>
        <w:pStyle w:val="Bibliography"/>
        <w:rPr>
          <w:rFonts w:ascii="Calibri" w:hAnsi="Calibri" w:cs="Calibri"/>
        </w:rPr>
      </w:pPr>
      <w:r w:rsidRPr="001C71BD">
        <w:rPr>
          <w:rFonts w:ascii="Calibri" w:hAnsi="Calibri" w:cs="Calibri"/>
        </w:rPr>
        <w:t xml:space="preserve">45. </w:t>
      </w:r>
      <w:r w:rsidRPr="001C71BD">
        <w:rPr>
          <w:rFonts w:ascii="Calibri" w:hAnsi="Calibri" w:cs="Calibri"/>
        </w:rPr>
        <w:tab/>
        <w:t xml:space="preserve">He W, Gauri M, Li T, Wang R, Lin S-X. Current knowledge of the multifunctional 17β-hydroxysteroid dehydrogenase type 1 (HSD17B1). </w:t>
      </w:r>
      <w:r w:rsidRPr="001C71BD">
        <w:rPr>
          <w:rFonts w:ascii="Calibri" w:hAnsi="Calibri" w:cs="Calibri"/>
          <w:i/>
          <w:iCs/>
        </w:rPr>
        <w:t>Gene</w:t>
      </w:r>
      <w:r w:rsidRPr="001C71BD">
        <w:rPr>
          <w:rFonts w:ascii="Calibri" w:hAnsi="Calibri" w:cs="Calibri"/>
        </w:rPr>
        <w:t xml:space="preserve"> 2016;588(1):54–61.</w:t>
      </w:r>
    </w:p>
    <w:p w14:paraId="71FF798E" w14:textId="77777777" w:rsidR="001C71BD" w:rsidRPr="001C71BD" w:rsidRDefault="001C71BD" w:rsidP="001C71BD">
      <w:pPr>
        <w:pStyle w:val="Bibliography"/>
        <w:rPr>
          <w:rFonts w:ascii="Calibri" w:hAnsi="Calibri" w:cs="Calibri"/>
        </w:rPr>
      </w:pPr>
      <w:r w:rsidRPr="001C71BD">
        <w:rPr>
          <w:rFonts w:ascii="Calibri" w:hAnsi="Calibri" w:cs="Calibri"/>
        </w:rPr>
        <w:t xml:space="preserve">46. </w:t>
      </w:r>
      <w:r w:rsidRPr="001C71BD">
        <w:rPr>
          <w:rFonts w:ascii="Calibri" w:hAnsi="Calibri" w:cs="Calibri"/>
        </w:rPr>
        <w:tab/>
        <w:t xml:space="preserve">Wang SJ, Liu WJ, Wu CJ, Ma FH, Ahmad S, Liu BR, Han L, Jiang XP, Zhang SJ, Yang LG. Melatonin suppresses apoptosis and stimulates progesterone production by bovine granulosa cells via its receptors (MT1 and MT2). </w:t>
      </w:r>
      <w:r w:rsidRPr="001C71BD">
        <w:rPr>
          <w:rFonts w:ascii="Calibri" w:hAnsi="Calibri" w:cs="Calibri"/>
          <w:i/>
          <w:iCs/>
        </w:rPr>
        <w:t>Theriogenology</w:t>
      </w:r>
      <w:r w:rsidRPr="001C71BD">
        <w:rPr>
          <w:rFonts w:ascii="Calibri" w:hAnsi="Calibri" w:cs="Calibri"/>
        </w:rPr>
        <w:t xml:space="preserve"> 2012;78(7):1517–1526.</w:t>
      </w:r>
    </w:p>
    <w:p w14:paraId="70E74361" w14:textId="77777777" w:rsidR="001C71BD" w:rsidRPr="001C71BD" w:rsidRDefault="001C71BD" w:rsidP="001C71BD">
      <w:pPr>
        <w:pStyle w:val="Bibliography"/>
        <w:rPr>
          <w:rFonts w:ascii="Calibri" w:hAnsi="Calibri" w:cs="Calibri"/>
        </w:rPr>
      </w:pPr>
      <w:r w:rsidRPr="001C71BD">
        <w:rPr>
          <w:rFonts w:ascii="Calibri" w:hAnsi="Calibri" w:cs="Calibri"/>
        </w:rPr>
        <w:t xml:space="preserve">47. </w:t>
      </w:r>
      <w:r w:rsidRPr="001C71BD">
        <w:rPr>
          <w:rFonts w:ascii="Calibri" w:hAnsi="Calibri" w:cs="Calibri"/>
        </w:rPr>
        <w:tab/>
        <w:t xml:space="preserve">Irving-Rodgers HF, Harland ML, Sullivan TR, Rodgers RJ. Studies of granulosa cell maturation in dominant and subordinate bovine follicles: novel extracellular matrix </w:t>
      </w:r>
      <w:proofErr w:type="spellStart"/>
      <w:r w:rsidRPr="001C71BD">
        <w:rPr>
          <w:rFonts w:ascii="Calibri" w:hAnsi="Calibri" w:cs="Calibri"/>
        </w:rPr>
        <w:t>focimatrix</w:t>
      </w:r>
      <w:proofErr w:type="spellEnd"/>
      <w:r w:rsidRPr="001C71BD">
        <w:rPr>
          <w:rFonts w:ascii="Calibri" w:hAnsi="Calibri" w:cs="Calibri"/>
        </w:rPr>
        <w:t xml:space="preserve"> is </w:t>
      </w:r>
      <w:proofErr w:type="spellStart"/>
      <w:r w:rsidRPr="001C71BD">
        <w:rPr>
          <w:rFonts w:ascii="Calibri" w:hAnsi="Calibri" w:cs="Calibri"/>
        </w:rPr>
        <w:t>co-ordinately</w:t>
      </w:r>
      <w:proofErr w:type="spellEnd"/>
      <w:r w:rsidRPr="001C71BD">
        <w:rPr>
          <w:rFonts w:ascii="Calibri" w:hAnsi="Calibri" w:cs="Calibri"/>
        </w:rPr>
        <w:t xml:space="preserve"> regulated with </w:t>
      </w:r>
      <w:proofErr w:type="gramStart"/>
      <w:r w:rsidRPr="001C71BD">
        <w:rPr>
          <w:rFonts w:ascii="Calibri" w:hAnsi="Calibri" w:cs="Calibri"/>
        </w:rPr>
        <w:t>cholesterol  side</w:t>
      </w:r>
      <w:proofErr w:type="gramEnd"/>
      <w:r w:rsidRPr="001C71BD">
        <w:rPr>
          <w:rFonts w:ascii="Calibri" w:hAnsi="Calibri" w:cs="Calibri"/>
        </w:rPr>
        <w:t xml:space="preserve">-chain cleavage CYP11A1. </w:t>
      </w:r>
      <w:r w:rsidRPr="001C71BD">
        <w:rPr>
          <w:rFonts w:ascii="Calibri" w:hAnsi="Calibri" w:cs="Calibri"/>
          <w:i/>
          <w:iCs/>
        </w:rPr>
        <w:t>Reproduction</w:t>
      </w:r>
      <w:r w:rsidRPr="001C71BD">
        <w:rPr>
          <w:rFonts w:ascii="Calibri" w:hAnsi="Calibri" w:cs="Calibri"/>
        </w:rPr>
        <w:t xml:space="preserve"> 2009;137(5):825–834.</w:t>
      </w:r>
    </w:p>
    <w:p w14:paraId="7310D7BF" w14:textId="77777777" w:rsidR="001C71BD" w:rsidRPr="001C71BD" w:rsidRDefault="001C71BD" w:rsidP="001C71BD">
      <w:pPr>
        <w:pStyle w:val="Bibliography"/>
        <w:rPr>
          <w:rFonts w:ascii="Calibri" w:hAnsi="Calibri" w:cs="Calibri"/>
        </w:rPr>
      </w:pPr>
      <w:r w:rsidRPr="001C71BD">
        <w:rPr>
          <w:rFonts w:ascii="Calibri" w:hAnsi="Calibri" w:cs="Calibri"/>
        </w:rPr>
        <w:t xml:space="preserve">48. </w:t>
      </w:r>
      <w:r w:rsidRPr="001C71BD">
        <w:rPr>
          <w:rFonts w:ascii="Calibri" w:hAnsi="Calibri" w:cs="Calibri"/>
        </w:rPr>
        <w:tab/>
        <w:t xml:space="preserve">Lee-Thacker S, Choi Y, </w:t>
      </w:r>
      <w:proofErr w:type="spellStart"/>
      <w:r w:rsidRPr="001C71BD">
        <w:rPr>
          <w:rFonts w:ascii="Calibri" w:hAnsi="Calibri" w:cs="Calibri"/>
        </w:rPr>
        <w:t>Taniuchi</w:t>
      </w:r>
      <w:proofErr w:type="spellEnd"/>
      <w:r w:rsidRPr="001C71BD">
        <w:rPr>
          <w:rFonts w:ascii="Calibri" w:hAnsi="Calibri" w:cs="Calibri"/>
        </w:rPr>
        <w:t xml:space="preserve"> I, </w:t>
      </w:r>
      <w:proofErr w:type="spellStart"/>
      <w:r w:rsidRPr="001C71BD">
        <w:rPr>
          <w:rFonts w:ascii="Calibri" w:hAnsi="Calibri" w:cs="Calibri"/>
        </w:rPr>
        <w:t>Takarada</w:t>
      </w:r>
      <w:proofErr w:type="spellEnd"/>
      <w:r w:rsidRPr="001C71BD">
        <w:rPr>
          <w:rFonts w:ascii="Calibri" w:hAnsi="Calibri" w:cs="Calibri"/>
        </w:rPr>
        <w:t xml:space="preserve"> T, </w:t>
      </w:r>
      <w:proofErr w:type="spellStart"/>
      <w:r w:rsidRPr="001C71BD">
        <w:rPr>
          <w:rFonts w:ascii="Calibri" w:hAnsi="Calibri" w:cs="Calibri"/>
        </w:rPr>
        <w:t>Yoneda</w:t>
      </w:r>
      <w:proofErr w:type="spellEnd"/>
      <w:r w:rsidRPr="001C71BD">
        <w:rPr>
          <w:rFonts w:ascii="Calibri" w:hAnsi="Calibri" w:cs="Calibri"/>
        </w:rPr>
        <w:t xml:space="preserve"> Y, Ko C, Jo M. Core Binding Factor β Expression in Ovarian Granulosa Cells Is Essential for Female Fertility. </w:t>
      </w:r>
      <w:r w:rsidRPr="001C71BD">
        <w:rPr>
          <w:rFonts w:ascii="Calibri" w:hAnsi="Calibri" w:cs="Calibri"/>
          <w:i/>
          <w:iCs/>
        </w:rPr>
        <w:t>Endocrinology</w:t>
      </w:r>
      <w:r w:rsidRPr="001C71BD">
        <w:rPr>
          <w:rFonts w:ascii="Calibri" w:hAnsi="Calibri" w:cs="Calibri"/>
        </w:rPr>
        <w:t xml:space="preserve"> 2018;159(5):2094–2109.</w:t>
      </w:r>
    </w:p>
    <w:p w14:paraId="6831AFCC" w14:textId="77777777" w:rsidR="001C71BD" w:rsidRPr="001C71BD" w:rsidRDefault="001C71BD" w:rsidP="001C71BD">
      <w:pPr>
        <w:pStyle w:val="Bibliography"/>
        <w:rPr>
          <w:rFonts w:ascii="Calibri" w:hAnsi="Calibri" w:cs="Calibri"/>
        </w:rPr>
      </w:pPr>
      <w:r w:rsidRPr="001C71BD">
        <w:rPr>
          <w:rFonts w:ascii="Calibri" w:hAnsi="Calibri" w:cs="Calibri"/>
        </w:rPr>
        <w:t xml:space="preserve">49. </w:t>
      </w:r>
      <w:r w:rsidRPr="001C71BD">
        <w:rPr>
          <w:rFonts w:ascii="Calibri" w:hAnsi="Calibri" w:cs="Calibri"/>
        </w:rPr>
        <w:tab/>
        <w:t xml:space="preserve">Park JY, Jang H, Curry TE, Sakamoto A, Jo M. Prostate androgen-regulated mucin-like protein 1: a novel regulator of progesterone metabolism. </w:t>
      </w:r>
      <w:r w:rsidRPr="001C71BD">
        <w:rPr>
          <w:rFonts w:ascii="Calibri" w:hAnsi="Calibri" w:cs="Calibri"/>
          <w:i/>
          <w:iCs/>
        </w:rPr>
        <w:t>Mol Endocrinol</w:t>
      </w:r>
      <w:r w:rsidRPr="001C71BD">
        <w:rPr>
          <w:rFonts w:ascii="Calibri" w:hAnsi="Calibri" w:cs="Calibri"/>
        </w:rPr>
        <w:t xml:space="preserve"> 2013;27(11):1871–1886.</w:t>
      </w:r>
    </w:p>
    <w:p w14:paraId="55321739" w14:textId="77777777" w:rsidR="001C71BD" w:rsidRPr="001C71BD" w:rsidRDefault="001C71BD" w:rsidP="001C71BD">
      <w:pPr>
        <w:pStyle w:val="Bibliography"/>
        <w:rPr>
          <w:rFonts w:ascii="Calibri" w:hAnsi="Calibri" w:cs="Calibri"/>
        </w:rPr>
      </w:pPr>
      <w:r w:rsidRPr="001C71BD">
        <w:rPr>
          <w:rFonts w:ascii="Calibri" w:hAnsi="Calibri" w:cs="Calibri"/>
        </w:rPr>
        <w:t xml:space="preserve">50. </w:t>
      </w:r>
      <w:r w:rsidRPr="001C71BD">
        <w:rPr>
          <w:rFonts w:ascii="Calibri" w:hAnsi="Calibri" w:cs="Calibri"/>
        </w:rPr>
        <w:tab/>
      </w:r>
      <w:proofErr w:type="spellStart"/>
      <w:r w:rsidRPr="001C71BD">
        <w:rPr>
          <w:rFonts w:ascii="Calibri" w:hAnsi="Calibri" w:cs="Calibri"/>
        </w:rPr>
        <w:t>Baufeld</w:t>
      </w:r>
      <w:proofErr w:type="spellEnd"/>
      <w:r w:rsidRPr="001C71BD">
        <w:rPr>
          <w:rFonts w:ascii="Calibri" w:hAnsi="Calibri" w:cs="Calibri"/>
        </w:rPr>
        <w:t xml:space="preserve"> A, Koczan D, </w:t>
      </w:r>
      <w:proofErr w:type="spellStart"/>
      <w:r w:rsidRPr="001C71BD">
        <w:rPr>
          <w:rFonts w:ascii="Calibri" w:hAnsi="Calibri" w:cs="Calibri"/>
        </w:rPr>
        <w:t>Vanselow</w:t>
      </w:r>
      <w:proofErr w:type="spellEnd"/>
      <w:r w:rsidRPr="001C71BD">
        <w:rPr>
          <w:rFonts w:ascii="Calibri" w:hAnsi="Calibri" w:cs="Calibri"/>
        </w:rPr>
        <w:t xml:space="preserve"> J. Induction of altered gene expression profiles in cultured bovine granulosa cells at high cell density. </w:t>
      </w:r>
      <w:proofErr w:type="spellStart"/>
      <w:r w:rsidRPr="001C71BD">
        <w:rPr>
          <w:rFonts w:ascii="Calibri" w:hAnsi="Calibri" w:cs="Calibri"/>
          <w:i/>
          <w:iCs/>
        </w:rPr>
        <w:t>Reprod</w:t>
      </w:r>
      <w:proofErr w:type="spellEnd"/>
      <w:r w:rsidRPr="001C71BD">
        <w:rPr>
          <w:rFonts w:ascii="Calibri" w:hAnsi="Calibri" w:cs="Calibri"/>
          <w:i/>
          <w:iCs/>
        </w:rPr>
        <w:t xml:space="preserve"> Biol Endocrinol</w:t>
      </w:r>
      <w:r w:rsidRPr="001C71BD">
        <w:rPr>
          <w:rFonts w:ascii="Calibri" w:hAnsi="Calibri" w:cs="Calibri"/>
        </w:rPr>
        <w:t xml:space="preserve"> 2017;15(1):3.</w:t>
      </w:r>
    </w:p>
    <w:p w14:paraId="7DB1D80B" w14:textId="77777777" w:rsidR="001C71BD" w:rsidRPr="001C71BD" w:rsidRDefault="001C71BD" w:rsidP="001C71BD">
      <w:pPr>
        <w:pStyle w:val="Bibliography"/>
        <w:rPr>
          <w:rFonts w:ascii="Calibri" w:hAnsi="Calibri" w:cs="Calibri"/>
        </w:rPr>
      </w:pPr>
      <w:r w:rsidRPr="001C71BD">
        <w:rPr>
          <w:rFonts w:ascii="Calibri" w:hAnsi="Calibri" w:cs="Calibri"/>
        </w:rPr>
        <w:t xml:space="preserve">51. </w:t>
      </w:r>
      <w:r w:rsidRPr="001C71BD">
        <w:rPr>
          <w:rFonts w:ascii="Calibri" w:hAnsi="Calibri" w:cs="Calibri"/>
        </w:rPr>
        <w:tab/>
        <w:t xml:space="preserve">Hodgkinson K, Forrest LA, </w:t>
      </w:r>
      <w:proofErr w:type="spellStart"/>
      <w:r w:rsidRPr="001C71BD">
        <w:rPr>
          <w:rFonts w:ascii="Calibri" w:hAnsi="Calibri" w:cs="Calibri"/>
        </w:rPr>
        <w:t>Vuong</w:t>
      </w:r>
      <w:proofErr w:type="spellEnd"/>
      <w:r w:rsidRPr="001C71BD">
        <w:rPr>
          <w:rFonts w:ascii="Calibri" w:hAnsi="Calibri" w:cs="Calibri"/>
        </w:rPr>
        <w:t xml:space="preserve"> N, Garson K, Djordjevic B, </w:t>
      </w:r>
      <w:proofErr w:type="spellStart"/>
      <w:r w:rsidRPr="001C71BD">
        <w:rPr>
          <w:rFonts w:ascii="Calibri" w:hAnsi="Calibri" w:cs="Calibri"/>
        </w:rPr>
        <w:t>Vanderhyden</w:t>
      </w:r>
      <w:proofErr w:type="spellEnd"/>
      <w:r w:rsidRPr="001C71BD">
        <w:rPr>
          <w:rFonts w:ascii="Calibri" w:hAnsi="Calibri" w:cs="Calibri"/>
        </w:rPr>
        <w:t xml:space="preserve"> BC. GREB1 is an estrogen receptor-regulated </w:t>
      </w:r>
      <w:proofErr w:type="spellStart"/>
      <w:r w:rsidRPr="001C71BD">
        <w:rPr>
          <w:rFonts w:ascii="Calibri" w:hAnsi="Calibri" w:cs="Calibri"/>
        </w:rPr>
        <w:t>tumour</w:t>
      </w:r>
      <w:proofErr w:type="spellEnd"/>
      <w:r w:rsidRPr="001C71BD">
        <w:rPr>
          <w:rFonts w:ascii="Calibri" w:hAnsi="Calibri" w:cs="Calibri"/>
        </w:rPr>
        <w:t xml:space="preserve"> promoter that is frequently expressed in ovarian cancer. </w:t>
      </w:r>
      <w:r w:rsidRPr="001C71BD">
        <w:rPr>
          <w:rFonts w:ascii="Calibri" w:hAnsi="Calibri" w:cs="Calibri"/>
          <w:i/>
          <w:iCs/>
        </w:rPr>
        <w:t>Oncogene</w:t>
      </w:r>
      <w:r w:rsidRPr="001C71BD">
        <w:rPr>
          <w:rFonts w:ascii="Calibri" w:hAnsi="Calibri" w:cs="Calibri"/>
        </w:rPr>
        <w:t xml:space="preserve"> 2018;37(44):5873–5886.</w:t>
      </w:r>
    </w:p>
    <w:p w14:paraId="2ABA253E" w14:textId="77777777" w:rsidR="001C71BD" w:rsidRPr="001C71BD" w:rsidRDefault="001C71BD" w:rsidP="001C71BD">
      <w:pPr>
        <w:pStyle w:val="Bibliography"/>
        <w:rPr>
          <w:rFonts w:ascii="Calibri" w:hAnsi="Calibri" w:cs="Calibri"/>
        </w:rPr>
      </w:pPr>
      <w:r w:rsidRPr="001C71BD">
        <w:rPr>
          <w:rFonts w:ascii="Calibri" w:hAnsi="Calibri" w:cs="Calibri"/>
        </w:rPr>
        <w:t xml:space="preserve">52. </w:t>
      </w:r>
      <w:r w:rsidRPr="001C71BD">
        <w:rPr>
          <w:rFonts w:ascii="Calibri" w:hAnsi="Calibri" w:cs="Calibri"/>
        </w:rPr>
        <w:tab/>
        <w:t xml:space="preserve">Wagner M, Yoshihara M, </w:t>
      </w:r>
      <w:proofErr w:type="spellStart"/>
      <w:r w:rsidRPr="001C71BD">
        <w:rPr>
          <w:rFonts w:ascii="Calibri" w:hAnsi="Calibri" w:cs="Calibri"/>
        </w:rPr>
        <w:t>Douagi</w:t>
      </w:r>
      <w:proofErr w:type="spellEnd"/>
      <w:r w:rsidRPr="001C71BD">
        <w:rPr>
          <w:rFonts w:ascii="Calibri" w:hAnsi="Calibri" w:cs="Calibri"/>
        </w:rPr>
        <w:t xml:space="preserve"> I, </w:t>
      </w:r>
      <w:proofErr w:type="spellStart"/>
      <w:r w:rsidRPr="001C71BD">
        <w:rPr>
          <w:rFonts w:ascii="Calibri" w:hAnsi="Calibri" w:cs="Calibri"/>
        </w:rPr>
        <w:t>Damdimopoulos</w:t>
      </w:r>
      <w:proofErr w:type="spellEnd"/>
      <w:r w:rsidRPr="001C71BD">
        <w:rPr>
          <w:rFonts w:ascii="Calibri" w:hAnsi="Calibri" w:cs="Calibri"/>
        </w:rPr>
        <w:t xml:space="preserve"> A, </w:t>
      </w:r>
      <w:proofErr w:type="spellStart"/>
      <w:r w:rsidRPr="001C71BD">
        <w:rPr>
          <w:rFonts w:ascii="Calibri" w:hAnsi="Calibri" w:cs="Calibri"/>
        </w:rPr>
        <w:t>Panula</w:t>
      </w:r>
      <w:proofErr w:type="spellEnd"/>
      <w:r w:rsidRPr="001C71BD">
        <w:rPr>
          <w:rFonts w:ascii="Calibri" w:hAnsi="Calibri" w:cs="Calibri"/>
        </w:rPr>
        <w:t xml:space="preserve"> S, Petropoulos S, Lu H, </w:t>
      </w:r>
      <w:proofErr w:type="spellStart"/>
      <w:r w:rsidRPr="001C71BD">
        <w:rPr>
          <w:rFonts w:ascii="Calibri" w:hAnsi="Calibri" w:cs="Calibri"/>
        </w:rPr>
        <w:t>Pettersson</w:t>
      </w:r>
      <w:proofErr w:type="spellEnd"/>
      <w:r w:rsidRPr="001C71BD">
        <w:rPr>
          <w:rFonts w:ascii="Calibri" w:hAnsi="Calibri" w:cs="Calibri"/>
        </w:rPr>
        <w:t xml:space="preserve"> K, Palm K, Katayama S, </w:t>
      </w:r>
      <w:proofErr w:type="spellStart"/>
      <w:r w:rsidRPr="001C71BD">
        <w:rPr>
          <w:rFonts w:ascii="Calibri" w:hAnsi="Calibri" w:cs="Calibri"/>
        </w:rPr>
        <w:t>Hovatta</w:t>
      </w:r>
      <w:proofErr w:type="spellEnd"/>
      <w:r w:rsidRPr="001C71BD">
        <w:rPr>
          <w:rFonts w:ascii="Calibri" w:hAnsi="Calibri" w:cs="Calibri"/>
        </w:rPr>
        <w:t xml:space="preserve"> O, </w:t>
      </w:r>
      <w:proofErr w:type="spellStart"/>
      <w:r w:rsidRPr="001C71BD">
        <w:rPr>
          <w:rFonts w:ascii="Calibri" w:hAnsi="Calibri" w:cs="Calibri"/>
        </w:rPr>
        <w:t>Kere</w:t>
      </w:r>
      <w:proofErr w:type="spellEnd"/>
      <w:r w:rsidRPr="001C71BD">
        <w:rPr>
          <w:rFonts w:ascii="Calibri" w:hAnsi="Calibri" w:cs="Calibri"/>
        </w:rPr>
        <w:t xml:space="preserve"> J, Lanner F, </w:t>
      </w:r>
      <w:proofErr w:type="spellStart"/>
      <w:r w:rsidRPr="001C71BD">
        <w:rPr>
          <w:rFonts w:ascii="Calibri" w:hAnsi="Calibri" w:cs="Calibri"/>
        </w:rPr>
        <w:t>Damdimopoulou</w:t>
      </w:r>
      <w:proofErr w:type="spellEnd"/>
      <w:r w:rsidRPr="001C71BD">
        <w:rPr>
          <w:rFonts w:ascii="Calibri" w:hAnsi="Calibri" w:cs="Calibri"/>
        </w:rPr>
        <w:t xml:space="preserve"> P. Single-cell analysis of human ovarian cortex identifies distinct cell populations but no oogonial stem cells. </w:t>
      </w:r>
      <w:r w:rsidRPr="001C71BD">
        <w:rPr>
          <w:rFonts w:ascii="Calibri" w:hAnsi="Calibri" w:cs="Calibri"/>
          <w:i/>
          <w:iCs/>
        </w:rPr>
        <w:t xml:space="preserve">Nat </w:t>
      </w:r>
      <w:proofErr w:type="spellStart"/>
      <w:r w:rsidRPr="001C71BD">
        <w:rPr>
          <w:rFonts w:ascii="Calibri" w:hAnsi="Calibri" w:cs="Calibri"/>
          <w:i/>
          <w:iCs/>
        </w:rPr>
        <w:t>Commun</w:t>
      </w:r>
      <w:proofErr w:type="spellEnd"/>
      <w:r w:rsidRPr="001C71BD">
        <w:rPr>
          <w:rFonts w:ascii="Calibri" w:hAnsi="Calibri" w:cs="Calibri"/>
        </w:rPr>
        <w:t xml:space="preserve"> 2020;11(1):1147.</w:t>
      </w:r>
    </w:p>
    <w:p w14:paraId="4233901E" w14:textId="77777777" w:rsidR="001C71BD" w:rsidRPr="001C71BD" w:rsidRDefault="001C71BD" w:rsidP="001C71BD">
      <w:pPr>
        <w:pStyle w:val="Bibliography"/>
        <w:rPr>
          <w:rFonts w:ascii="Calibri" w:hAnsi="Calibri" w:cs="Calibri"/>
        </w:rPr>
      </w:pPr>
      <w:r w:rsidRPr="001C71BD">
        <w:rPr>
          <w:rFonts w:ascii="Calibri" w:hAnsi="Calibri" w:cs="Calibri"/>
        </w:rPr>
        <w:lastRenderedPageBreak/>
        <w:t xml:space="preserve">53. </w:t>
      </w:r>
      <w:r w:rsidRPr="001C71BD">
        <w:rPr>
          <w:rFonts w:ascii="Calibri" w:hAnsi="Calibri" w:cs="Calibri"/>
        </w:rPr>
        <w:tab/>
      </w:r>
      <w:proofErr w:type="spellStart"/>
      <w:r w:rsidRPr="001C71BD">
        <w:rPr>
          <w:rFonts w:ascii="Calibri" w:hAnsi="Calibri" w:cs="Calibri"/>
        </w:rPr>
        <w:t>Kapfhamer</w:t>
      </w:r>
      <w:proofErr w:type="spellEnd"/>
      <w:r w:rsidRPr="001C71BD">
        <w:rPr>
          <w:rFonts w:ascii="Calibri" w:hAnsi="Calibri" w:cs="Calibri"/>
        </w:rPr>
        <w:t xml:space="preserve"> J, Waite C, Ascoli M. The Gα(q/11)-provoked induction of Akr1c18 in murine luteal cells is mediated by phospholipase C. </w:t>
      </w:r>
      <w:r w:rsidRPr="001C71BD">
        <w:rPr>
          <w:rFonts w:ascii="Calibri" w:hAnsi="Calibri" w:cs="Calibri"/>
          <w:i/>
          <w:iCs/>
        </w:rPr>
        <w:t>Mol Cell Endocrinol</w:t>
      </w:r>
      <w:r w:rsidRPr="001C71BD">
        <w:rPr>
          <w:rFonts w:ascii="Calibri" w:hAnsi="Calibri" w:cs="Calibri"/>
        </w:rPr>
        <w:t xml:space="preserve"> </w:t>
      </w:r>
      <w:proofErr w:type="gramStart"/>
      <w:r w:rsidRPr="001C71BD">
        <w:rPr>
          <w:rFonts w:ascii="Calibri" w:hAnsi="Calibri" w:cs="Calibri"/>
        </w:rPr>
        <w:t>2018;470:179</w:t>
      </w:r>
      <w:proofErr w:type="gramEnd"/>
      <w:r w:rsidRPr="001C71BD">
        <w:rPr>
          <w:rFonts w:ascii="Calibri" w:hAnsi="Calibri" w:cs="Calibri"/>
        </w:rPr>
        <w:t>–187.</w:t>
      </w:r>
    </w:p>
    <w:p w14:paraId="7319BAFE" w14:textId="7EA8E038" w:rsidR="001C71BD" w:rsidRDefault="001C71BD">
      <w:r>
        <w:fldChar w:fldCharType="end"/>
      </w:r>
    </w:p>
    <w:sectPr w:rsidR="001C7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11E"/>
    <w:rsid w:val="001C71BD"/>
    <w:rsid w:val="00680B32"/>
    <w:rsid w:val="00BD7492"/>
    <w:rsid w:val="00BF2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265C"/>
  <w15:chartTrackingRefBased/>
  <w15:docId w15:val="{FD3B67A1-9A93-40DD-B632-F22C5070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1C71BD"/>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31908</Words>
  <Characters>181880</Characters>
  <Application>Microsoft Office Word</Application>
  <DocSecurity>0</DocSecurity>
  <Lines>1515</Lines>
  <Paragraphs>426</Paragraphs>
  <ScaleCrop>false</ScaleCrop>
  <Company/>
  <LinksUpToDate>false</LinksUpToDate>
  <CharactersWithSpaces>213362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Meinsohn, Marie Charlotte</dc:creator>
  <cp:keywords/>
  <dc:description/>
  <cp:lastModifiedBy>Meinsohn, Marie Charlotte</cp:lastModifiedBy>
  <cp:revision>2</cp:revision>
  <dcterms:created xsi:type="dcterms:W3CDTF">2022-09-23T17:50:00Z</dcterms:created>
  <dcterms:modified xsi:type="dcterms:W3CDTF">2022-09-23T17:50:00Z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zotero-version="6.0.10"&gt;&lt;session id="xukIXzhO"/&gt;&lt;style id="http://www.zotero.org/styles/endocrinology" hasBibliography="1" bibliographyStyleHasBeenSet="1"/&gt;&lt;prefs&gt;&lt;pref name="fieldType" value="Field"/&gt;&lt;/prefs&gt;&lt;/data&gt;</vt:lpwstr>
  </property>
</Properties>
</file>