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rFonts w:ascii="Calibri" w:hAnsi="Calibri" w:asciiTheme="minorHAnsi" w:hAnsiTheme="minorHAnsi"/>
        </w:rPr>
        <w:framePr w:w="7817" w:h="1088" w:x="1858" w:y="1" w:wrap="auto" w:vAnchor="text" w:hAnchor="page" w:hRule="exact"/>
      </w:pPr>
      <w:r>
        <w:rPr>
          <w:rFonts w:asciiTheme="minorHAnsi" w:hAnsiTheme="minorHAnsi" w:ascii="Calibri" w:hAnsi="Calibri"/>
        </w:rPr>
        <w:t xml:space="preserve">The sample sizes used are about an order </w:t>
      </w:r>
      <w:r>
        <w:rPr>
          <w:rFonts w:asciiTheme="minorHAnsi" w:hAnsiTheme="minorHAnsi" w:ascii="Calibri" w:hAnsi="Calibri"/>
        </w:rPr>
        <w:t xml:space="preserve">of magnitude larger than those are presented in comparable studies (manually counted feeding rates, typical N=10). </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1230" w:x="1858" w:y="1" w:wrap="auto" w:vAnchor="text" w:hAnchor="page" w:hRule="exact"/>
      </w:pPr>
      <w:r>
        <w:rPr>
          <w:rFonts w:asciiTheme="minorHAnsi" w:hAnsiTheme="minorHAnsi" w:ascii="Calibri" w:hAnsi="Calibri"/>
        </w:rPr>
        <w:t xml:space="preserve">All sample sizes are reported in the figures and figure legends. Any exclusions are listed in the methods section. The only exclusion criterion was the duration of successful tracking of an animal, which had to exceed 1 minute.  </w:t>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088" w:x="1904" w:y="21" w:wrap="auto" w:vAnchor="text" w:hAnchor="page" w:hRule="exact"/>
      </w:pPr>
      <w:r>
        <w:rPr>
          <w:rFonts w:asciiTheme="minorHAnsi" w:hAnsiTheme="minorHAnsi" w:ascii="Calibri" w:hAnsi="Calibri"/>
          <w:sz w:val="22"/>
          <w:szCs w:val="22"/>
        </w:rPr>
        <w:t xml:space="preserve">We present raw data (Tukey’s box plots) and individual values </w:t>
      </w:r>
      <w:r>
        <w:rPr>
          <w:rFonts w:asciiTheme="minorHAnsi" w:hAnsiTheme="minorHAnsi" w:ascii="Calibri" w:hAnsi="Calibri"/>
          <w:sz w:val="22"/>
          <w:szCs w:val="22"/>
        </w:rPr>
        <w:t>where applicable. Errorbars, statistical tests are stated in the caption to each figure</w:t>
      </w:r>
      <w:r>
        <w:rPr>
          <w:rFonts w:asciiTheme="minorHAnsi" w:hAnsiTheme="minorHAnsi" w:ascii="Calibri" w:hAnsi="Calibri"/>
          <w:sz w:val="22"/>
          <w:szCs w:val="22"/>
        </w:rPr>
        <w:t xml:space="preserve">. </w:t>
      </w:r>
      <w:r>
        <w:rPr>
          <w:rFonts w:asciiTheme="minorHAnsi" w:hAnsiTheme="minorHAnsi" w:ascii="Calibri" w:hAnsi="Calibri"/>
          <w:sz w:val="22"/>
          <w:szCs w:val="22"/>
        </w:rPr>
        <w:t>N and</w:t>
      </w:r>
      <w:r>
        <w:rPr>
          <w:rFonts w:asciiTheme="minorHAnsi" w:hAnsiTheme="minorHAnsi" w:ascii="Calibri" w:hAnsi="Calibri"/>
          <w:sz w:val="22"/>
          <w:szCs w:val="22"/>
        </w:rPr>
        <w:t xml:space="preserve"> </w:t>
      </w:r>
      <w:r>
        <w:rPr>
          <w:rFonts w:asciiTheme="minorHAnsi" w:hAnsiTheme="minorHAnsi" w:ascii="Calibri" w:hAnsi="Calibri"/>
          <w:sz w:val="22"/>
          <w:szCs w:val="22"/>
        </w:rPr>
        <w:t>p-values are reported in the figures</w:t>
      </w:r>
      <w:r>
        <w:rPr>
          <w:rFonts w:asciiTheme="minorHAnsi" w:hAnsiTheme="minorHAnsi" w:ascii="Calibri" w:hAnsi="Calibri"/>
          <w:sz w:val="22"/>
          <w:szCs w:val="22"/>
        </w:rPr>
        <w:t xml:space="preserve">.  </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N/A</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rFonts w:ascii="Calibri" w:hAnsi="Calibri" w:asciiTheme="minorHAnsi" w:hAnsiTheme="minorHAnsi"/>
          <w:sz w:val="22"/>
          <w:szCs w:val="22"/>
        </w:rPr>
        <w:framePr w:w="7817" w:h="1390" w:x="1904" w:y="1" w:wrap="auto" w:vAnchor="text" w:hAnchor="page" w:hRule="exact"/>
      </w:pPr>
      <w:r>
        <w:rPr>
          <w:rFonts w:asciiTheme="minorHAnsi" w:hAnsiTheme="minorHAnsi" w:ascii="Calibri" w:hAnsi="Calibri"/>
          <w:sz w:val="22"/>
          <w:szCs w:val="22"/>
        </w:rPr>
        <w:t xml:space="preserve">Source data for figures </w:t>
      </w:r>
      <w:r>
        <w:rPr>
          <w:rFonts w:asciiTheme="minorHAnsi" w:hAnsiTheme="minorHAnsi" w:ascii="Calibri" w:hAnsi="Calibri"/>
          <w:sz w:val="22"/>
          <w:szCs w:val="22"/>
        </w:rPr>
        <w:t xml:space="preserve">3-5 are available under </w:t>
      </w:r>
      <w:hyperlink r:id="rId6">
        <w:r>
          <w:rPr>
            <w:rStyle w:val="InternetLink"/>
            <w:rFonts w:asciiTheme="minorHAnsi" w:hAnsiTheme="minorHAnsi" w:ascii="Calibri" w:hAnsi="Calibri"/>
            <w:sz w:val="22"/>
            <w:szCs w:val="22"/>
          </w:rPr>
          <w:t>https://osf.io/fy4ed/</w:t>
        </w:r>
      </w:hyperlink>
      <w:r>
        <w:rPr>
          <w:rFonts w:asciiTheme="minorHAnsi" w:hAnsiTheme="minorHAnsi" w:ascii="Calibri" w:hAnsi="Calibri"/>
          <w:sz w:val="22"/>
          <w:szCs w:val="22"/>
        </w:rPr>
        <w:t xml:space="preserve"> and are formatted to follow wcon tracker standard for worm tracking data. The software package presented in the paper and used for all analyses is available here: </w:t>
      </w:r>
      <w:hyperlink r:id="rId7">
        <w:r>
          <w:rPr>
            <w:rStyle w:val="InternetLink"/>
            <w:rFonts w:asciiTheme="minorHAnsi" w:hAnsiTheme="minorHAnsi" w:ascii="Calibri" w:hAnsi="Calibri"/>
            <w:sz w:val="22"/>
            <w:szCs w:val="22"/>
          </w:rPr>
          <w:t>https://github.com/scholz-lab/PharaGlow</w:t>
        </w:r>
      </w:hyperlink>
      <w:r>
        <w:rPr>
          <w:rFonts w:asciiTheme="minorHAnsi" w:hAnsiTheme="minorHAnsi" w:ascii="Calibri" w:hAnsi="Calibri"/>
          <w:sz w:val="22"/>
          <w:szCs w:val="22"/>
        </w:rPr>
        <w:br/>
        <w:t xml:space="preserve"> </w:t>
      </w:r>
    </w:p>
    <w:sectPr>
      <w:headerReference w:type="default" r:id="rId8"/>
      <w:footerReference w:type="default" r:id="rId9"/>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2">
              <wp:simplePos x="0" y="0"/>
              <wp:positionH relativeFrom="page">
                <wp:posOffset>6313805</wp:posOffset>
              </wp:positionH>
              <wp:positionV relativeFrom="paragraph">
                <wp:posOffset>123825</wp:posOffset>
              </wp:positionV>
              <wp:extent cx="81280" cy="147955"/>
              <wp:effectExtent l="0" t="0" r="0" b="0"/>
              <wp:wrapSquare wrapText="largest"/>
              <wp:docPr id="2" name="Frame6"/>
              <a:graphic xmlns:a="http://schemas.openxmlformats.org/drawingml/2006/main">
                <a:graphicData uri="http://schemas.microsoft.com/office/word/2010/wordprocessingShape">
                  <wps:wsp>
                    <wps:cNvSpPr txBox="1"/>
                    <wps:spPr>
                      <a:xfrm>
                        <a:off x="0" y="0"/>
                        <a:ext cx="81280" cy="147955"/>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6.4pt;height:11.65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9525"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asciiTheme="minorHAnsi" w:hAnsiTheme="minorHAnsi"/>
      <w:bCs/>
      <w:sz w:val="22"/>
      <w:szCs w:val="22"/>
      <w:lang w:val="en-GB"/>
    </w:rPr>
  </w:style>
  <w:style w:type="character" w:styleId="ListLabel5">
    <w:name w:val="ListLabel 5"/>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yperlink" Target="https://osf.io/fy4ed/" TargetMode="External"/><Relationship Id="rId7" Type="http://schemas.openxmlformats.org/officeDocument/2006/relationships/hyperlink" Target="https://github.com/scholz-lab/PharaGlow"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Application>LibreOffice/6.0.7.3$Linux_X86_64 LibreOffice_project/00m0$Build-3</Application>
  <Pages>3</Pages>
  <Words>822</Words>
  <Characters>4569</Characters>
  <CharactersWithSpaces>5338</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2022-01-27T13:16:10Z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