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68C" w14:textId="11620152" w:rsidR="00E7389D" w:rsidRDefault="00E7389D">
      <w:pPr>
        <w:rPr>
          <w:lang w:val="en-GB"/>
        </w:rPr>
      </w:pPr>
      <w:r>
        <w:rPr>
          <w:lang w:val="en-GB"/>
        </w:rPr>
        <w:t>Figure 2 - table supplement 1.</w:t>
      </w:r>
    </w:p>
    <w:p w14:paraId="77D97250" w14:textId="77777777" w:rsidR="00E7389D" w:rsidRDefault="00E7389D"/>
    <w:tbl>
      <w:tblPr>
        <w:tblStyle w:val="PlainTable2"/>
        <w:tblW w:w="8516" w:type="dxa"/>
        <w:tblLayout w:type="fixed"/>
        <w:tblLook w:val="04A0" w:firstRow="1" w:lastRow="0" w:firstColumn="1" w:lastColumn="0" w:noHBand="0" w:noVBand="1"/>
      </w:tblPr>
      <w:tblGrid>
        <w:gridCol w:w="639"/>
        <w:gridCol w:w="2588"/>
        <w:gridCol w:w="283"/>
        <w:gridCol w:w="340"/>
        <w:gridCol w:w="3346"/>
        <w:gridCol w:w="1320"/>
      </w:tblGrid>
      <w:tr w:rsidR="00E7389D" w:rsidRPr="00C72DA4" w14:paraId="76449E1B" w14:textId="77777777" w:rsidTr="00100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6"/>
          </w:tcPr>
          <w:p w14:paraId="4AF00D8C" w14:textId="77777777" w:rsidR="00E7389D" w:rsidRPr="00C72DA4" w:rsidRDefault="00E7389D" w:rsidP="00100910">
            <w:pPr>
              <w:spacing w:before="100" w:beforeAutospacing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C72DA4">
              <w:rPr>
                <w:rFonts w:ascii="Arial" w:hAnsi="Arial" w:cs="Arial"/>
                <w:sz w:val="20"/>
                <w:szCs w:val="20"/>
              </w:rPr>
              <w:t>functional</w:t>
            </w:r>
            <w:proofErr w:type="spellEnd"/>
            <w:r w:rsidRPr="00C72D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2DA4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</w:p>
        </w:tc>
      </w:tr>
      <w:tr w:rsidR="00E7389D" w:rsidRPr="00C72DA4" w14:paraId="6854246E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tcBorders>
              <w:bottom w:val="single" w:sz="12" w:space="0" w:color="auto"/>
            </w:tcBorders>
            <w:vAlign w:val="center"/>
          </w:tcPr>
          <w:p w14:paraId="41726161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3"/>
            <w:tcBorders>
              <w:bottom w:val="single" w:sz="12" w:space="0" w:color="auto"/>
            </w:tcBorders>
            <w:vAlign w:val="center"/>
          </w:tcPr>
          <w:p w14:paraId="5C0E8B8C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3346" w:type="dxa"/>
            <w:tcBorders>
              <w:bottom w:val="single" w:sz="12" w:space="0" w:color="auto"/>
            </w:tcBorders>
            <w:vAlign w:val="center"/>
          </w:tcPr>
          <w:p w14:paraId="350C5460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350DAA89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Cluster </w:t>
            </w:r>
            <w:proofErr w:type="spellStart"/>
            <w:r w:rsidRPr="00C72DA4">
              <w:rPr>
                <w:rFonts w:ascii="Arial" w:hAnsi="Arial" w:cs="Arial"/>
                <w:b/>
                <w:bCs/>
                <w:sz w:val="20"/>
                <w:szCs w:val="20"/>
              </w:rPr>
              <w:t>Enrichment</w:t>
            </w:r>
            <w:proofErr w:type="spellEnd"/>
            <w:r w:rsidRPr="00C72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E7389D" w:rsidRPr="00C72DA4" w14:paraId="29D45C66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F0687EB" w14:textId="77777777" w:rsidR="00E7389D" w:rsidRPr="00C72DA4" w:rsidRDefault="00E7389D" w:rsidP="0010091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sz w:val="20"/>
                <w:szCs w:val="20"/>
              </w:rPr>
              <w:t>Epi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12" w:space="0" w:color="auto"/>
              <w:bottom w:val="nil"/>
            </w:tcBorders>
          </w:tcPr>
          <w:p w14:paraId="38993B28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nil"/>
            </w:tcBorders>
          </w:tcPr>
          <w:p w14:paraId="697F3FE0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Inflammatory response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1C2661E" w14:textId="77777777" w:rsidR="00E7389D" w:rsidRPr="00C72DA4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7.1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</w:t>
            </w:r>
          </w:p>
        </w:tc>
      </w:tr>
      <w:tr w:rsidR="00E7389D" w:rsidRPr="00C72DA4" w14:paraId="5CC7CCE3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nil"/>
              <w:bottom w:val="single" w:sz="4" w:space="0" w:color="000000" w:themeColor="text1"/>
            </w:tcBorders>
          </w:tcPr>
          <w:p w14:paraId="52E9842E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</w:tcBorders>
          </w:tcPr>
          <w:p w14:paraId="6380AB5B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14:paraId="5A3AA94F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Immunity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14:paraId="177E2114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C72DA4" w14:paraId="785DB9D3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0C0B62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1DB687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EFF956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Innate immunity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03D3D18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C72DA4" w14:paraId="5FC2BA2A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AEDA73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1" w:type="dxa"/>
            <w:gridSpan w:val="2"/>
          </w:tcPr>
          <w:p w14:paraId="54FF3EEC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</w:tcPr>
          <w:p w14:paraId="5F1DD912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Immune system process</w:t>
            </w:r>
          </w:p>
        </w:tc>
        <w:tc>
          <w:tcPr>
            <w:tcW w:w="1320" w:type="dxa"/>
            <w:vMerge/>
          </w:tcPr>
          <w:p w14:paraId="171D729D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C72DA4" w14:paraId="44D9FE3E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6CC1E3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0356F923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3AA054C2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C72DA4">
              <w:rPr>
                <w:rFonts w:ascii="Arial" w:hAnsi="Arial" w:cs="Arial"/>
                <w:sz w:val="20"/>
                <w:szCs w:val="20"/>
                <w:lang w:val="en-GB" w:eastAsia="en-US"/>
              </w:rPr>
              <w:t>Innate immune response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33E0744A" w14:textId="77777777" w:rsidR="00E7389D" w:rsidRPr="00C72DA4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D07795" w14:paraId="67A7023B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FB75AC" w14:textId="77777777" w:rsidR="00E7389D" w:rsidRPr="00C72DA4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12" w:space="0" w:color="000000" w:themeColor="text1"/>
            </w:tcBorders>
          </w:tcPr>
          <w:p w14:paraId="3EDE4FEE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KEGG PATHWAY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</w:tcBorders>
          </w:tcPr>
          <w:p w14:paraId="71AD2E75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Cytokine-cytokine receptor interaction</w:t>
            </w:r>
          </w:p>
        </w:tc>
        <w:tc>
          <w:tcPr>
            <w:tcW w:w="13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DC25E8" w14:textId="77777777" w:rsidR="00E7389D" w:rsidRPr="00D07795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6.57</w:t>
            </w:r>
          </w:p>
        </w:tc>
      </w:tr>
      <w:tr w:rsidR="00E7389D" w:rsidRPr="00C72DA4" w14:paraId="037CC4CD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D802E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FB2A05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87DC55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Immune response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5E1C6C8A" w14:textId="77777777" w:rsidR="00E7389D" w:rsidRPr="00C72DA4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406B2CE2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9697B4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</w:tcPr>
          <w:p w14:paraId="0046CD2E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</w:tcPr>
          <w:p w14:paraId="373A09B2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Cytokine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4892BD0B" w14:textId="77777777" w:rsidR="00E7389D" w:rsidRPr="00C72DA4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0F99C7D0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A5A46E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6FA1F0FE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32A722BB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Cytokine activity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50EC2D7C" w14:textId="77777777" w:rsidR="00E7389D" w:rsidRPr="00C72DA4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7468733F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934145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12" w:space="0" w:color="000000" w:themeColor="text1"/>
            </w:tcBorders>
          </w:tcPr>
          <w:p w14:paraId="413BAB37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</w:tcBorders>
          </w:tcPr>
          <w:p w14:paraId="29242AD5" w14:textId="77777777" w:rsidR="00E7389D" w:rsidRPr="00C72DA4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Tumour necrosis factor</w:t>
            </w:r>
          </w:p>
        </w:tc>
        <w:tc>
          <w:tcPr>
            <w:tcW w:w="1320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8BFCA7" w14:textId="77777777" w:rsidR="00E7389D" w:rsidRPr="00D07795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1.94</w:t>
            </w:r>
          </w:p>
        </w:tc>
      </w:tr>
      <w:tr w:rsidR="00E7389D" w:rsidRPr="00C72DA4" w14:paraId="11F48E83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1A3D55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AFD30D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SMART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406626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TNF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749BA421" w14:textId="77777777" w:rsidR="00E7389D" w:rsidRPr="00C72DA4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03BBB182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0BE944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</w:tcPr>
          <w:p w14:paraId="5A00BFF3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</w:tcPr>
          <w:p w14:paraId="69D0BCFE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Tumour necrosis factor, conserved site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07EF55D0" w14:textId="77777777" w:rsidR="00E7389D" w:rsidRPr="00C72DA4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66816269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956A65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1F77F0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490475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Tumour necrosis factor alpha/beta/c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273CE747" w14:textId="77777777" w:rsidR="00E7389D" w:rsidRPr="00C72DA4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C72DA4" w14:paraId="12F519C0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A94B43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</w:tcPr>
          <w:p w14:paraId="55B8F925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Go Molecular Function</w:t>
            </w:r>
          </w:p>
        </w:tc>
        <w:tc>
          <w:tcPr>
            <w:tcW w:w="3686" w:type="dxa"/>
            <w:gridSpan w:val="2"/>
          </w:tcPr>
          <w:p w14:paraId="343AD5F0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Tumor</w:t>
            </w:r>
            <w:proofErr w:type="spellEnd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necrosis factor receptor binding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502E1554" w14:textId="77777777" w:rsidR="00E7389D" w:rsidRPr="00C72DA4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9D" w:rsidRPr="00100910" w14:paraId="76931FC5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14:paraId="5FE9933F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1EC2B014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07795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2DE9C117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Tumour necrosis factor-like domain</w:t>
            </w:r>
          </w:p>
        </w:tc>
        <w:tc>
          <w:tcPr>
            <w:tcW w:w="1320" w:type="dxa"/>
            <w:vMerge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14:paraId="7BA15051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54ADB9CA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6BB96" w14:textId="77777777" w:rsidR="00E7389D" w:rsidRPr="00461597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Acla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FC71614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3A6B3AA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Immunity</w:t>
            </w:r>
          </w:p>
        </w:tc>
        <w:tc>
          <w:tcPr>
            <w:tcW w:w="13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D4755A7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26.37</w:t>
            </w:r>
          </w:p>
        </w:tc>
      </w:tr>
      <w:tr w:rsidR="00E7389D" w:rsidRPr="00461597" w14:paraId="438AA6FE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27BD5739" w14:textId="77777777" w:rsidR="00E7389D" w:rsidRPr="00461597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C7DB35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314E40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Immune system process</w:t>
            </w:r>
          </w:p>
        </w:tc>
        <w:tc>
          <w:tcPr>
            <w:tcW w:w="1320" w:type="dxa"/>
            <w:vMerge/>
          </w:tcPr>
          <w:p w14:paraId="2193F0D4" w14:textId="77777777" w:rsidR="00E7389D" w:rsidRPr="00461597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461597" w14:paraId="141D3F87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39353E08" w14:textId="77777777" w:rsidR="00E7389D" w:rsidRPr="00461597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9997FD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68B203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Innate immunity</w:t>
            </w:r>
          </w:p>
        </w:tc>
        <w:tc>
          <w:tcPr>
            <w:tcW w:w="1320" w:type="dxa"/>
            <w:vMerge/>
          </w:tcPr>
          <w:p w14:paraId="2881BC30" w14:textId="77777777" w:rsidR="00E7389D" w:rsidRPr="00461597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461597" w14:paraId="7D8CFAA9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411AE4F6" w14:textId="77777777" w:rsidR="00E7389D" w:rsidRPr="00461597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FCE9B6E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742D95E3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461597">
              <w:rPr>
                <w:rFonts w:ascii="Arial" w:hAnsi="Arial" w:cs="Arial"/>
                <w:sz w:val="20"/>
                <w:szCs w:val="20"/>
                <w:lang w:val="en-GB" w:eastAsia="en-US"/>
              </w:rPr>
              <w:t>Innate immune response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13DC17E2" w14:textId="77777777" w:rsidR="00E7389D" w:rsidRPr="00461597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E7389D" w:rsidRPr="00461597" w14:paraId="28D96CD7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24792320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64554AC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CCE205A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Immune response</w:t>
            </w:r>
          </w:p>
        </w:tc>
        <w:tc>
          <w:tcPr>
            <w:tcW w:w="13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ABBFCAE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9.85</w:t>
            </w:r>
          </w:p>
        </w:tc>
      </w:tr>
      <w:tr w:rsidR="00E7389D" w:rsidRPr="00461597" w14:paraId="5E4FF84A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38312E7A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D0C4E7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KEGG PATHWAY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1EAFCD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Cytokine-cytokine receptor interaction</w:t>
            </w:r>
          </w:p>
        </w:tc>
        <w:tc>
          <w:tcPr>
            <w:tcW w:w="1320" w:type="dxa"/>
            <w:vMerge/>
          </w:tcPr>
          <w:p w14:paraId="214B3C2B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40C39C2B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3CF51157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A70402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518C8E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Cytokine</w:t>
            </w:r>
          </w:p>
        </w:tc>
        <w:tc>
          <w:tcPr>
            <w:tcW w:w="1320" w:type="dxa"/>
            <w:vMerge/>
          </w:tcPr>
          <w:p w14:paraId="4D89F688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2664298D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2B4AF284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75468412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Molecular Function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2D45A9BD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Cytokine activity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648D9398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3F2A86C1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6B9ADF4F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2F75D8C7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Process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70A2687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B74F9E3" w14:textId="77777777" w:rsidR="00E7389D" w:rsidRPr="00D07795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Cellular response to interferon-gamma</w:t>
            </w:r>
          </w:p>
        </w:tc>
        <w:tc>
          <w:tcPr>
            <w:tcW w:w="132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11A34213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3.83</w:t>
            </w:r>
          </w:p>
        </w:tc>
      </w:tr>
      <w:tr w:rsidR="00E7389D" w:rsidRPr="00461597" w14:paraId="7356E756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5D806843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2CBD7D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6E3483" w14:textId="77777777" w:rsidR="00E7389D" w:rsidRPr="00D07795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Cell chemotaxis</w:t>
            </w:r>
          </w:p>
        </w:tc>
        <w:tc>
          <w:tcPr>
            <w:tcW w:w="1320" w:type="dxa"/>
            <w:vMerge/>
          </w:tcPr>
          <w:p w14:paraId="03E13FBD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0DD3D923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67F5B87D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B38321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BA5C28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Chemotaxis</w:t>
            </w:r>
          </w:p>
        </w:tc>
        <w:tc>
          <w:tcPr>
            <w:tcW w:w="1320" w:type="dxa"/>
            <w:vMerge/>
          </w:tcPr>
          <w:p w14:paraId="7D6E5C32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1288EACF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133DC7A5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20B3B2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UniProt</w:t>
            </w:r>
            <w:proofErr w:type="spellEnd"/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Keywords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9A9AB1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2D48C7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Chemotaxis</w:t>
            </w:r>
          </w:p>
        </w:tc>
        <w:tc>
          <w:tcPr>
            <w:tcW w:w="1320" w:type="dxa"/>
            <w:vMerge/>
          </w:tcPr>
          <w:p w14:paraId="6F4DB0EA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3401986A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29A4CCF6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57B0F7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Process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2CC507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8F7A73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Chemokine-mediated </w:t>
            </w:r>
            <w:proofErr w:type="spellStart"/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signaling</w:t>
            </w:r>
            <w:proofErr w:type="spellEnd"/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pathway</w:t>
            </w:r>
          </w:p>
        </w:tc>
        <w:tc>
          <w:tcPr>
            <w:tcW w:w="1320" w:type="dxa"/>
            <w:vMerge/>
          </w:tcPr>
          <w:p w14:paraId="1C5996F9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75752B32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3C40D8B3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C61BBA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227A19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CC chemokine, conserved site</w:t>
            </w:r>
          </w:p>
        </w:tc>
        <w:tc>
          <w:tcPr>
            <w:tcW w:w="1320" w:type="dxa"/>
            <w:vMerge/>
          </w:tcPr>
          <w:p w14:paraId="12B2EE85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11F810EA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2B0716ED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073C04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INTERPRO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964EF5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Chemokine interleukin-8-like domain</w:t>
            </w:r>
          </w:p>
        </w:tc>
        <w:tc>
          <w:tcPr>
            <w:tcW w:w="1320" w:type="dxa"/>
            <w:vMerge/>
          </w:tcPr>
          <w:p w14:paraId="2B5FB6E4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2E17B07D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74AD8A71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A4FC0C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6640E3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Neutrophil chemotaxis</w:t>
            </w:r>
          </w:p>
        </w:tc>
        <w:tc>
          <w:tcPr>
            <w:tcW w:w="1320" w:type="dxa"/>
            <w:vMerge/>
          </w:tcPr>
          <w:p w14:paraId="31D406DA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4C506D84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5DDA7656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FAB3A9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Molecular Function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CB1BE2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Chemokine activity</w:t>
            </w:r>
          </w:p>
        </w:tc>
        <w:tc>
          <w:tcPr>
            <w:tcW w:w="1320" w:type="dxa"/>
            <w:vMerge/>
          </w:tcPr>
          <w:p w14:paraId="26F97D80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4AD65231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44864EDF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8CACC2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CC6FF6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Lymphocyte chemotaxis</w:t>
            </w:r>
          </w:p>
        </w:tc>
        <w:tc>
          <w:tcPr>
            <w:tcW w:w="1320" w:type="dxa"/>
            <w:vMerge/>
          </w:tcPr>
          <w:p w14:paraId="77EFEFFA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273C7F04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1B1C02D6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A587D6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58EA25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Monocyte chemotaxis</w:t>
            </w:r>
          </w:p>
        </w:tc>
        <w:tc>
          <w:tcPr>
            <w:tcW w:w="1320" w:type="dxa"/>
            <w:vMerge/>
          </w:tcPr>
          <w:p w14:paraId="0F1B5946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100910" w14:paraId="09AA4179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56E172DA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FFEA17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C44679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Positive regulation of natural killer cell chemotaxis</w:t>
            </w:r>
          </w:p>
        </w:tc>
        <w:tc>
          <w:tcPr>
            <w:tcW w:w="1320" w:type="dxa"/>
            <w:vMerge/>
          </w:tcPr>
          <w:p w14:paraId="11D09329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7343B555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639E6D90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DE0667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Molecular Function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A87623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CCR chemokine receptor binding</w:t>
            </w:r>
          </w:p>
        </w:tc>
        <w:tc>
          <w:tcPr>
            <w:tcW w:w="1320" w:type="dxa"/>
            <w:vMerge/>
          </w:tcPr>
          <w:p w14:paraId="40C8D297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43F0822D" w14:textId="77777777" w:rsidTr="00100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07906CDA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AC9B1F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C7C961" w14:textId="77777777" w:rsidR="00E7389D" w:rsidRPr="00250FF3" w:rsidRDefault="00E7389D" w:rsidP="00100910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Macrophage chemotaxis</w:t>
            </w:r>
          </w:p>
        </w:tc>
        <w:tc>
          <w:tcPr>
            <w:tcW w:w="1320" w:type="dxa"/>
            <w:vMerge/>
          </w:tcPr>
          <w:p w14:paraId="3D857544" w14:textId="77777777" w:rsidR="00E7389D" w:rsidRPr="00461597" w:rsidRDefault="00E7389D" w:rsidP="00100910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389D" w:rsidRPr="00461597" w14:paraId="33128D63" w14:textId="77777777" w:rsidTr="00100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  <w:tcBorders>
              <w:bottom w:val="single" w:sz="12" w:space="0" w:color="auto"/>
            </w:tcBorders>
          </w:tcPr>
          <w:p w14:paraId="7CBED555" w14:textId="77777777" w:rsidR="00E7389D" w:rsidRPr="00D07795" w:rsidRDefault="00E7389D" w:rsidP="00100910">
            <w:pPr>
              <w:spacing w:before="100" w:before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00B07AE" w14:textId="69C6DC83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250FF3">
              <w:rPr>
                <w:rFonts w:ascii="Arial" w:hAnsi="Arial" w:cs="Arial"/>
                <w:sz w:val="20"/>
                <w:szCs w:val="20"/>
                <w:lang w:val="en-GB" w:eastAsia="en-US"/>
              </w:rPr>
              <w:t>GO Biological Process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023263F9" w14:textId="77777777" w:rsidR="00E7389D" w:rsidRPr="00250FF3" w:rsidRDefault="00E7389D" w:rsidP="00100910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E47103">
              <w:rPr>
                <w:rFonts w:ascii="Arial" w:hAnsi="Arial" w:cs="Arial"/>
                <w:sz w:val="20"/>
                <w:szCs w:val="20"/>
                <w:lang w:val="en-GB" w:eastAsia="en-US"/>
              </w:rPr>
              <w:t>Eosinophil chemotaxis</w:t>
            </w:r>
          </w:p>
        </w:tc>
        <w:tc>
          <w:tcPr>
            <w:tcW w:w="1320" w:type="dxa"/>
            <w:vMerge/>
            <w:tcBorders>
              <w:bottom w:val="single" w:sz="12" w:space="0" w:color="000000" w:themeColor="text1"/>
            </w:tcBorders>
          </w:tcPr>
          <w:p w14:paraId="6231FF0D" w14:textId="77777777" w:rsidR="00E7389D" w:rsidRPr="00461597" w:rsidRDefault="00E7389D" w:rsidP="00100910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973367" w14:textId="77777777" w:rsidR="00CC3EB4" w:rsidRDefault="00CC3EB4"/>
    <w:sectPr w:rsidR="00CC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9D"/>
    <w:rsid w:val="00CC3EB4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642145"/>
  <w15:chartTrackingRefBased/>
  <w15:docId w15:val="{CA4ACFAD-C139-D942-A058-1805042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9D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99"/>
    <w:rsid w:val="00E7389D"/>
    <w:rPr>
      <w:rFonts w:eastAsiaTheme="minorEastAsia"/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Costa</dc:creator>
  <cp:keywords/>
  <dc:description/>
  <cp:lastModifiedBy>Ana Costa</cp:lastModifiedBy>
  <cp:revision>1</cp:revision>
  <dcterms:created xsi:type="dcterms:W3CDTF">2022-10-26T10:06:00Z</dcterms:created>
  <dcterms:modified xsi:type="dcterms:W3CDTF">2022-10-26T10:07:00Z</dcterms:modified>
</cp:coreProperties>
</file>