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968C" w14:textId="11620152" w:rsidR="00E7389D" w:rsidRDefault="00E7389D">
      <w:pPr>
        <w:rPr>
          <w:lang w:val="en-GB"/>
        </w:rPr>
      </w:pPr>
      <w:r>
        <w:rPr>
          <w:lang w:val="en-GB"/>
        </w:rPr>
        <w:t>Figure 2 - table supplement 1.</w:t>
      </w:r>
    </w:p>
    <w:p w14:paraId="77D97250" w14:textId="77777777" w:rsidR="00E7389D" w:rsidRDefault="00E7389D"/>
    <w:tbl>
      <w:tblPr>
        <w:tblStyle w:val="PlainTable2"/>
        <w:tblW w:w="8516" w:type="dxa"/>
        <w:tblLayout w:type="fixed"/>
        <w:tblLook w:val="04A0" w:firstRow="1" w:lastRow="0" w:firstColumn="1" w:lastColumn="0" w:noHBand="0" w:noVBand="1"/>
      </w:tblPr>
      <w:tblGrid>
        <w:gridCol w:w="639"/>
        <w:gridCol w:w="2588"/>
        <w:gridCol w:w="283"/>
        <w:gridCol w:w="340"/>
        <w:gridCol w:w="3346"/>
        <w:gridCol w:w="1320"/>
      </w:tblGrid>
      <w:tr w:rsidR="00E7389D" w:rsidRPr="00C72DA4" w14:paraId="76449E1B" w14:textId="77777777" w:rsidTr="00100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6"/>
          </w:tcPr>
          <w:p w14:paraId="4AF00D8C" w14:textId="77777777" w:rsidR="00E7389D" w:rsidRPr="00C72DA4" w:rsidRDefault="00E7389D" w:rsidP="00100910">
            <w:pPr>
              <w:spacing w:before="100" w:beforeAutospacing="1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72DA4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 w:rsidRPr="00C72DA4">
              <w:rPr>
                <w:rFonts w:ascii="Arial" w:hAnsi="Arial" w:cs="Arial"/>
                <w:sz w:val="20"/>
                <w:szCs w:val="20"/>
              </w:rPr>
              <w:t>functional</w:t>
            </w:r>
            <w:proofErr w:type="spellEnd"/>
            <w:r w:rsidRPr="00C72D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2DA4">
              <w:rPr>
                <w:rFonts w:ascii="Arial" w:hAnsi="Arial" w:cs="Arial"/>
                <w:sz w:val="20"/>
                <w:szCs w:val="20"/>
              </w:rPr>
              <w:t>analysis</w:t>
            </w:r>
            <w:proofErr w:type="spellEnd"/>
          </w:p>
        </w:tc>
      </w:tr>
      <w:tr w:rsidR="00E7389D" w:rsidRPr="00C72DA4" w14:paraId="6854246E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tcBorders>
              <w:bottom w:val="single" w:sz="12" w:space="0" w:color="auto"/>
            </w:tcBorders>
            <w:vAlign w:val="center"/>
          </w:tcPr>
          <w:p w14:paraId="41726161" w14:textId="77777777" w:rsidR="00E7389D" w:rsidRPr="00C72DA4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1" w:type="dxa"/>
            <w:gridSpan w:val="3"/>
            <w:tcBorders>
              <w:bottom w:val="single" w:sz="12" w:space="0" w:color="auto"/>
            </w:tcBorders>
            <w:vAlign w:val="center"/>
          </w:tcPr>
          <w:p w14:paraId="5C0E8B8C" w14:textId="77777777" w:rsidR="00E7389D" w:rsidRPr="00C72DA4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72DA4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  <w:proofErr w:type="spellEnd"/>
          </w:p>
        </w:tc>
        <w:tc>
          <w:tcPr>
            <w:tcW w:w="3346" w:type="dxa"/>
            <w:tcBorders>
              <w:bottom w:val="single" w:sz="12" w:space="0" w:color="auto"/>
            </w:tcBorders>
            <w:vAlign w:val="center"/>
          </w:tcPr>
          <w:p w14:paraId="350C5460" w14:textId="77777777" w:rsidR="00E7389D" w:rsidRPr="00C72DA4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72DA4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  <w:proofErr w:type="spellEnd"/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350DAA89" w14:textId="77777777" w:rsidR="00E7389D" w:rsidRPr="00C72DA4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2D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Cluster </w:t>
            </w:r>
            <w:proofErr w:type="spellStart"/>
            <w:r w:rsidRPr="00C72DA4">
              <w:rPr>
                <w:rFonts w:ascii="Arial" w:hAnsi="Arial" w:cs="Arial"/>
                <w:b/>
                <w:bCs/>
                <w:sz w:val="20"/>
                <w:szCs w:val="20"/>
              </w:rPr>
              <w:t>Enrichment</w:t>
            </w:r>
            <w:proofErr w:type="spellEnd"/>
            <w:r w:rsidRPr="00C72D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Score</w:t>
            </w:r>
          </w:p>
        </w:tc>
      </w:tr>
      <w:tr w:rsidR="00E7389D" w:rsidRPr="00C72DA4" w14:paraId="29D45C66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F0687EB" w14:textId="77777777" w:rsidR="00E7389D" w:rsidRPr="00C72DA4" w:rsidRDefault="00E7389D" w:rsidP="00100910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DA4">
              <w:rPr>
                <w:rFonts w:ascii="Arial" w:hAnsi="Arial" w:cs="Arial"/>
                <w:sz w:val="20"/>
                <w:szCs w:val="20"/>
              </w:rPr>
              <w:t>Epi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12" w:space="0" w:color="auto"/>
              <w:bottom w:val="nil"/>
            </w:tcBorders>
          </w:tcPr>
          <w:p w14:paraId="38993B28" w14:textId="77777777" w:rsidR="00E7389D" w:rsidRPr="00C72DA4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DA4">
              <w:rPr>
                <w:rFonts w:ascii="Arial" w:hAnsi="Arial" w:cs="Arial"/>
                <w:sz w:val="20"/>
                <w:szCs w:val="20"/>
                <w:lang w:val="en-GB" w:eastAsia="en-US"/>
              </w:rPr>
              <w:t>UniProt</w:t>
            </w:r>
            <w:proofErr w:type="spellEnd"/>
            <w:r w:rsidRPr="00C72DA4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Keywords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nil"/>
            </w:tcBorders>
          </w:tcPr>
          <w:p w14:paraId="697F3FE0" w14:textId="77777777" w:rsidR="00E7389D" w:rsidRPr="00C72DA4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2DA4">
              <w:rPr>
                <w:rFonts w:ascii="Arial" w:hAnsi="Arial" w:cs="Arial"/>
                <w:sz w:val="20"/>
                <w:szCs w:val="20"/>
                <w:lang w:val="en-GB" w:eastAsia="en-US"/>
              </w:rPr>
              <w:t>Inflammatory response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51C2661E" w14:textId="77777777" w:rsidR="00E7389D" w:rsidRPr="00C72DA4" w:rsidRDefault="00E7389D" w:rsidP="0010091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72DA4">
              <w:rPr>
                <w:rFonts w:ascii="Arial" w:hAnsi="Arial" w:cs="Arial"/>
                <w:sz w:val="20"/>
                <w:szCs w:val="20"/>
                <w:lang w:val="en-GB" w:eastAsia="en-US"/>
              </w:rPr>
              <w:t>7.1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3</w:t>
            </w:r>
          </w:p>
        </w:tc>
      </w:tr>
      <w:tr w:rsidR="00E7389D" w:rsidRPr="00C72DA4" w14:paraId="5CC7CCE3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nil"/>
              <w:bottom w:val="single" w:sz="4" w:space="0" w:color="000000" w:themeColor="text1"/>
            </w:tcBorders>
          </w:tcPr>
          <w:p w14:paraId="52E9842E" w14:textId="77777777" w:rsidR="00E7389D" w:rsidRPr="00C72DA4" w:rsidRDefault="00E7389D" w:rsidP="00100910">
            <w:pPr>
              <w:spacing w:before="100" w:beforeAutospacing="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nil"/>
            </w:tcBorders>
          </w:tcPr>
          <w:p w14:paraId="6380AB5B" w14:textId="77777777" w:rsidR="00E7389D" w:rsidRPr="00C72DA4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DA4">
              <w:rPr>
                <w:rFonts w:ascii="Arial" w:hAnsi="Arial" w:cs="Arial"/>
                <w:sz w:val="20"/>
                <w:szCs w:val="20"/>
                <w:lang w:val="en-GB" w:eastAsia="en-US"/>
              </w:rPr>
              <w:t>UniProt</w:t>
            </w:r>
            <w:proofErr w:type="spellEnd"/>
            <w:r w:rsidRPr="00C72DA4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Keywords</w:t>
            </w:r>
          </w:p>
        </w:tc>
        <w:tc>
          <w:tcPr>
            <w:tcW w:w="3686" w:type="dxa"/>
            <w:gridSpan w:val="2"/>
            <w:tcBorders>
              <w:top w:val="nil"/>
            </w:tcBorders>
          </w:tcPr>
          <w:p w14:paraId="5A3AA94F" w14:textId="77777777" w:rsidR="00E7389D" w:rsidRPr="00C72DA4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2DA4">
              <w:rPr>
                <w:rFonts w:ascii="Arial" w:hAnsi="Arial" w:cs="Arial"/>
                <w:sz w:val="20"/>
                <w:szCs w:val="20"/>
                <w:lang w:val="en-GB" w:eastAsia="en-US"/>
              </w:rPr>
              <w:t>Immunity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14:paraId="177E2114" w14:textId="77777777" w:rsidR="00E7389D" w:rsidRPr="00C72DA4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E7389D" w:rsidRPr="00C72DA4" w14:paraId="785DB9D3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0C0B62" w14:textId="77777777" w:rsidR="00E7389D" w:rsidRPr="00C72DA4" w:rsidRDefault="00E7389D" w:rsidP="00100910">
            <w:pPr>
              <w:spacing w:before="100" w:beforeAutospacing="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11DB687" w14:textId="77777777" w:rsidR="00E7389D" w:rsidRPr="00C72DA4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DA4">
              <w:rPr>
                <w:rFonts w:ascii="Arial" w:hAnsi="Arial" w:cs="Arial"/>
                <w:sz w:val="20"/>
                <w:szCs w:val="20"/>
                <w:lang w:val="en-GB" w:eastAsia="en-US"/>
              </w:rPr>
              <w:t>UniProt</w:t>
            </w:r>
            <w:proofErr w:type="spellEnd"/>
            <w:r w:rsidRPr="00C72DA4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Keywords</w:t>
            </w:r>
          </w:p>
        </w:tc>
        <w:tc>
          <w:tcPr>
            <w:tcW w:w="3686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BEFF956" w14:textId="77777777" w:rsidR="00E7389D" w:rsidRPr="00C72DA4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2DA4">
              <w:rPr>
                <w:rFonts w:ascii="Arial" w:hAnsi="Arial" w:cs="Arial"/>
                <w:sz w:val="20"/>
                <w:szCs w:val="20"/>
                <w:lang w:val="en-GB" w:eastAsia="en-US"/>
              </w:rPr>
              <w:t>Innate immunity</w:t>
            </w:r>
          </w:p>
        </w:tc>
        <w:tc>
          <w:tcPr>
            <w:tcW w:w="1320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03D3D18" w14:textId="77777777" w:rsidR="00E7389D" w:rsidRPr="00C72DA4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E7389D" w:rsidRPr="00C72DA4" w14:paraId="5FC2BA2A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AEDA73" w14:textId="77777777" w:rsidR="00E7389D" w:rsidRPr="00C72DA4" w:rsidRDefault="00E7389D" w:rsidP="00100910">
            <w:pPr>
              <w:spacing w:before="100" w:beforeAutospacing="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1" w:type="dxa"/>
            <w:gridSpan w:val="2"/>
          </w:tcPr>
          <w:p w14:paraId="54FF3EEC" w14:textId="77777777" w:rsidR="00E7389D" w:rsidRPr="00C72DA4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2DA4">
              <w:rPr>
                <w:rFonts w:ascii="Arial" w:hAnsi="Arial" w:cs="Arial"/>
                <w:sz w:val="20"/>
                <w:szCs w:val="20"/>
                <w:lang w:val="en-GB" w:eastAsia="en-US"/>
              </w:rPr>
              <w:t>GO Biological Process</w:t>
            </w:r>
          </w:p>
        </w:tc>
        <w:tc>
          <w:tcPr>
            <w:tcW w:w="3686" w:type="dxa"/>
            <w:gridSpan w:val="2"/>
          </w:tcPr>
          <w:p w14:paraId="5F1DD912" w14:textId="77777777" w:rsidR="00E7389D" w:rsidRPr="00C72DA4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72DA4">
              <w:rPr>
                <w:rFonts w:ascii="Arial" w:hAnsi="Arial" w:cs="Arial"/>
                <w:sz w:val="20"/>
                <w:szCs w:val="20"/>
                <w:lang w:val="en-GB" w:eastAsia="en-US"/>
              </w:rPr>
              <w:t>Immune system process</w:t>
            </w:r>
          </w:p>
        </w:tc>
        <w:tc>
          <w:tcPr>
            <w:tcW w:w="1320" w:type="dxa"/>
            <w:vMerge/>
          </w:tcPr>
          <w:p w14:paraId="171D729D" w14:textId="77777777" w:rsidR="00E7389D" w:rsidRPr="00C72DA4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E7389D" w:rsidRPr="00C72DA4" w14:paraId="44D9FE3E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6CC1E3" w14:textId="77777777" w:rsidR="00E7389D" w:rsidRPr="00C72DA4" w:rsidRDefault="00E7389D" w:rsidP="00100910">
            <w:pPr>
              <w:spacing w:before="100" w:beforeAutospacing="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</w:tcPr>
          <w:p w14:paraId="0356F923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72DA4">
              <w:rPr>
                <w:rFonts w:ascii="Arial" w:hAnsi="Arial" w:cs="Arial"/>
                <w:sz w:val="20"/>
                <w:szCs w:val="20"/>
                <w:lang w:val="en-GB" w:eastAsia="en-US"/>
              </w:rPr>
              <w:t>GO Biological Process</w:t>
            </w:r>
          </w:p>
        </w:tc>
        <w:tc>
          <w:tcPr>
            <w:tcW w:w="3686" w:type="dxa"/>
            <w:gridSpan w:val="2"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</w:tcPr>
          <w:p w14:paraId="3AA054C2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72DA4">
              <w:rPr>
                <w:rFonts w:ascii="Arial" w:hAnsi="Arial" w:cs="Arial"/>
                <w:sz w:val="20"/>
                <w:szCs w:val="20"/>
                <w:lang w:val="en-GB" w:eastAsia="en-US"/>
              </w:rPr>
              <w:t>Innate immune response</w:t>
            </w:r>
          </w:p>
        </w:tc>
        <w:tc>
          <w:tcPr>
            <w:tcW w:w="1320" w:type="dxa"/>
            <w:vMerge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</w:tcPr>
          <w:p w14:paraId="33E0744A" w14:textId="77777777" w:rsidR="00E7389D" w:rsidRPr="00C72DA4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E7389D" w:rsidRPr="00D07795" w14:paraId="67A7023B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FB75AC" w14:textId="77777777" w:rsidR="00E7389D" w:rsidRPr="00C72DA4" w:rsidRDefault="00E7389D" w:rsidP="00100910">
            <w:pPr>
              <w:spacing w:before="100" w:beforeAutospacing="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1" w:type="dxa"/>
            <w:gridSpan w:val="2"/>
            <w:tcBorders>
              <w:top w:val="single" w:sz="12" w:space="0" w:color="000000" w:themeColor="text1"/>
            </w:tcBorders>
          </w:tcPr>
          <w:p w14:paraId="3EDE4FEE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07795">
              <w:rPr>
                <w:rFonts w:ascii="Arial" w:hAnsi="Arial" w:cs="Arial"/>
                <w:sz w:val="20"/>
                <w:szCs w:val="20"/>
                <w:lang w:val="en-GB" w:eastAsia="en-US"/>
              </w:rPr>
              <w:t>KEGG PATHWAY</w:t>
            </w:r>
          </w:p>
        </w:tc>
        <w:tc>
          <w:tcPr>
            <w:tcW w:w="3686" w:type="dxa"/>
            <w:gridSpan w:val="2"/>
            <w:tcBorders>
              <w:top w:val="single" w:sz="12" w:space="0" w:color="000000" w:themeColor="text1"/>
            </w:tcBorders>
          </w:tcPr>
          <w:p w14:paraId="71AD2E75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07795">
              <w:rPr>
                <w:rFonts w:ascii="Arial" w:hAnsi="Arial" w:cs="Arial"/>
                <w:sz w:val="20"/>
                <w:szCs w:val="20"/>
                <w:lang w:val="en-GB" w:eastAsia="en-US"/>
              </w:rPr>
              <w:t>Cytokine-cytokine receptor interaction</w:t>
            </w:r>
          </w:p>
        </w:tc>
        <w:tc>
          <w:tcPr>
            <w:tcW w:w="132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BDC25E8" w14:textId="77777777" w:rsidR="00E7389D" w:rsidRPr="00D07795" w:rsidRDefault="00E7389D" w:rsidP="00100910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7795">
              <w:rPr>
                <w:rFonts w:ascii="Arial" w:hAnsi="Arial" w:cs="Arial"/>
                <w:sz w:val="20"/>
                <w:szCs w:val="20"/>
                <w:lang w:val="en-GB" w:eastAsia="en-US"/>
              </w:rPr>
              <w:t>6.57</w:t>
            </w:r>
          </w:p>
        </w:tc>
      </w:tr>
      <w:tr w:rsidR="00E7389D" w:rsidRPr="00C72DA4" w14:paraId="037CC4CD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0D802E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9FB2A05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07795">
              <w:rPr>
                <w:rFonts w:ascii="Arial" w:hAnsi="Arial" w:cs="Arial"/>
                <w:sz w:val="20"/>
                <w:szCs w:val="20"/>
                <w:lang w:val="en-GB" w:eastAsia="en-US"/>
              </w:rPr>
              <w:t>GO Biological Process</w:t>
            </w:r>
          </w:p>
        </w:tc>
        <w:tc>
          <w:tcPr>
            <w:tcW w:w="3686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387DC55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07795">
              <w:rPr>
                <w:rFonts w:ascii="Arial" w:hAnsi="Arial" w:cs="Arial"/>
                <w:sz w:val="20"/>
                <w:szCs w:val="20"/>
                <w:lang w:val="en-GB" w:eastAsia="en-US"/>
              </w:rPr>
              <w:t>Immune response</w:t>
            </w:r>
          </w:p>
        </w:tc>
        <w:tc>
          <w:tcPr>
            <w:tcW w:w="1320" w:type="dxa"/>
            <w:vMerge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</w:tcPr>
          <w:p w14:paraId="5E1C6C8A" w14:textId="77777777" w:rsidR="00E7389D" w:rsidRPr="00C72DA4" w:rsidRDefault="00E7389D" w:rsidP="0010091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9D" w:rsidRPr="00C72DA4" w14:paraId="406B2CE2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9697B4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</w:tcPr>
          <w:p w14:paraId="0046CD2E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D07795">
              <w:rPr>
                <w:rFonts w:ascii="Arial" w:hAnsi="Arial" w:cs="Arial"/>
                <w:sz w:val="20"/>
                <w:szCs w:val="20"/>
                <w:lang w:val="en-GB" w:eastAsia="en-US"/>
              </w:rPr>
              <w:t>UniProt</w:t>
            </w:r>
            <w:proofErr w:type="spellEnd"/>
            <w:r w:rsidRPr="00D07795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Keywords</w:t>
            </w:r>
          </w:p>
        </w:tc>
        <w:tc>
          <w:tcPr>
            <w:tcW w:w="3686" w:type="dxa"/>
            <w:gridSpan w:val="2"/>
          </w:tcPr>
          <w:p w14:paraId="373A09B2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07795">
              <w:rPr>
                <w:rFonts w:ascii="Arial" w:hAnsi="Arial" w:cs="Arial"/>
                <w:sz w:val="20"/>
                <w:szCs w:val="20"/>
                <w:lang w:val="en-GB" w:eastAsia="en-US"/>
              </w:rPr>
              <w:t>Cytokine</w:t>
            </w:r>
          </w:p>
        </w:tc>
        <w:tc>
          <w:tcPr>
            <w:tcW w:w="1320" w:type="dxa"/>
            <w:vMerge/>
            <w:tcBorders>
              <w:bottom w:val="single" w:sz="12" w:space="0" w:color="000000" w:themeColor="text1"/>
            </w:tcBorders>
          </w:tcPr>
          <w:p w14:paraId="4892BD0B" w14:textId="77777777" w:rsidR="00E7389D" w:rsidRPr="00C72DA4" w:rsidRDefault="00E7389D" w:rsidP="00100910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9D" w:rsidRPr="00C72DA4" w14:paraId="0F99C7D0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A5A46E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</w:tcPr>
          <w:p w14:paraId="6FA1F0FE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07795">
              <w:rPr>
                <w:rFonts w:ascii="Arial" w:hAnsi="Arial" w:cs="Arial"/>
                <w:sz w:val="20"/>
                <w:szCs w:val="20"/>
                <w:lang w:val="en-GB" w:eastAsia="en-US"/>
              </w:rPr>
              <w:t>GO Biological Process</w:t>
            </w:r>
          </w:p>
        </w:tc>
        <w:tc>
          <w:tcPr>
            <w:tcW w:w="3686" w:type="dxa"/>
            <w:gridSpan w:val="2"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</w:tcPr>
          <w:p w14:paraId="32A722BB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07795">
              <w:rPr>
                <w:rFonts w:ascii="Arial" w:hAnsi="Arial" w:cs="Arial"/>
                <w:sz w:val="20"/>
                <w:szCs w:val="20"/>
                <w:lang w:val="en-GB" w:eastAsia="en-US"/>
              </w:rPr>
              <w:t>Cytokine activity</w:t>
            </w:r>
          </w:p>
        </w:tc>
        <w:tc>
          <w:tcPr>
            <w:tcW w:w="1320" w:type="dxa"/>
            <w:vMerge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</w:tcPr>
          <w:p w14:paraId="50EC2D7C" w14:textId="77777777" w:rsidR="00E7389D" w:rsidRPr="00C72DA4" w:rsidRDefault="00E7389D" w:rsidP="0010091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9D" w:rsidRPr="00C72DA4" w14:paraId="7468733F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934145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12" w:space="0" w:color="000000" w:themeColor="text1"/>
            </w:tcBorders>
          </w:tcPr>
          <w:p w14:paraId="413BAB37" w14:textId="77777777" w:rsidR="00E7389D" w:rsidRPr="00C72DA4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07795">
              <w:rPr>
                <w:rFonts w:ascii="Arial" w:hAnsi="Arial" w:cs="Arial"/>
                <w:sz w:val="20"/>
                <w:szCs w:val="20"/>
                <w:lang w:val="en-GB" w:eastAsia="en-US"/>
              </w:rPr>
              <w:t>INTERPRO</w:t>
            </w:r>
          </w:p>
        </w:tc>
        <w:tc>
          <w:tcPr>
            <w:tcW w:w="3686" w:type="dxa"/>
            <w:gridSpan w:val="2"/>
            <w:tcBorders>
              <w:top w:val="single" w:sz="12" w:space="0" w:color="000000" w:themeColor="text1"/>
            </w:tcBorders>
          </w:tcPr>
          <w:p w14:paraId="29242AD5" w14:textId="77777777" w:rsidR="00E7389D" w:rsidRPr="00C72DA4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461597">
              <w:rPr>
                <w:rFonts w:ascii="Arial" w:hAnsi="Arial" w:cs="Arial"/>
                <w:sz w:val="20"/>
                <w:szCs w:val="20"/>
                <w:lang w:val="en-GB" w:eastAsia="en-US"/>
              </w:rPr>
              <w:t>Tumour necrosis factor</w:t>
            </w:r>
          </w:p>
        </w:tc>
        <w:tc>
          <w:tcPr>
            <w:tcW w:w="132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B8BFCA7" w14:textId="77777777" w:rsidR="00E7389D" w:rsidRPr="00D07795" w:rsidRDefault="00E7389D" w:rsidP="00100910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07795">
              <w:rPr>
                <w:rFonts w:ascii="Arial" w:hAnsi="Arial" w:cs="Arial"/>
                <w:sz w:val="20"/>
                <w:szCs w:val="20"/>
                <w:lang w:val="en-GB" w:eastAsia="en-US"/>
              </w:rPr>
              <w:t>1.94</w:t>
            </w:r>
          </w:p>
        </w:tc>
      </w:tr>
      <w:tr w:rsidR="00E7389D" w:rsidRPr="00C72DA4" w14:paraId="11F48E83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1A3D55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7AFD30D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07795">
              <w:rPr>
                <w:rFonts w:ascii="Arial" w:hAnsi="Arial" w:cs="Arial"/>
                <w:sz w:val="20"/>
                <w:szCs w:val="20"/>
                <w:lang w:val="en-GB" w:eastAsia="en-US"/>
              </w:rPr>
              <w:t>SMART</w:t>
            </w:r>
          </w:p>
        </w:tc>
        <w:tc>
          <w:tcPr>
            <w:tcW w:w="3686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F406626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461597">
              <w:rPr>
                <w:rFonts w:ascii="Arial" w:hAnsi="Arial" w:cs="Arial"/>
                <w:sz w:val="20"/>
                <w:szCs w:val="20"/>
                <w:lang w:val="en-GB" w:eastAsia="en-US"/>
              </w:rPr>
              <w:t>TNF</w:t>
            </w:r>
          </w:p>
        </w:tc>
        <w:tc>
          <w:tcPr>
            <w:tcW w:w="1320" w:type="dxa"/>
            <w:vMerge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</w:tcPr>
          <w:p w14:paraId="749BA421" w14:textId="77777777" w:rsidR="00E7389D" w:rsidRPr="00C72DA4" w:rsidRDefault="00E7389D" w:rsidP="0010091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9D" w:rsidRPr="00C72DA4" w14:paraId="03BBB182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0BE944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</w:tcPr>
          <w:p w14:paraId="5A00BFF3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07795">
              <w:rPr>
                <w:rFonts w:ascii="Arial" w:hAnsi="Arial" w:cs="Arial"/>
                <w:sz w:val="20"/>
                <w:szCs w:val="20"/>
                <w:lang w:val="en-GB" w:eastAsia="en-US"/>
              </w:rPr>
              <w:t>INTERPRO</w:t>
            </w:r>
          </w:p>
        </w:tc>
        <w:tc>
          <w:tcPr>
            <w:tcW w:w="3686" w:type="dxa"/>
            <w:gridSpan w:val="2"/>
          </w:tcPr>
          <w:p w14:paraId="69D0BCFE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461597">
              <w:rPr>
                <w:rFonts w:ascii="Arial" w:hAnsi="Arial" w:cs="Arial"/>
                <w:sz w:val="20"/>
                <w:szCs w:val="20"/>
                <w:lang w:val="en-GB" w:eastAsia="en-US"/>
              </w:rPr>
              <w:t>Tumour necrosis factor, conserved site</w:t>
            </w:r>
          </w:p>
        </w:tc>
        <w:tc>
          <w:tcPr>
            <w:tcW w:w="1320" w:type="dxa"/>
            <w:vMerge/>
            <w:tcBorders>
              <w:bottom w:val="single" w:sz="12" w:space="0" w:color="000000" w:themeColor="text1"/>
            </w:tcBorders>
          </w:tcPr>
          <w:p w14:paraId="07EF55D0" w14:textId="77777777" w:rsidR="00E7389D" w:rsidRPr="00C72DA4" w:rsidRDefault="00E7389D" w:rsidP="00100910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9D" w:rsidRPr="00C72DA4" w14:paraId="66816269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956A65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91F77F0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07795">
              <w:rPr>
                <w:rFonts w:ascii="Arial" w:hAnsi="Arial" w:cs="Arial"/>
                <w:sz w:val="20"/>
                <w:szCs w:val="20"/>
                <w:lang w:val="en-GB" w:eastAsia="en-US"/>
              </w:rPr>
              <w:t>INTERPRO</w:t>
            </w:r>
          </w:p>
        </w:tc>
        <w:tc>
          <w:tcPr>
            <w:tcW w:w="3686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7490475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461597">
              <w:rPr>
                <w:rFonts w:ascii="Arial" w:hAnsi="Arial" w:cs="Arial"/>
                <w:sz w:val="20"/>
                <w:szCs w:val="20"/>
                <w:lang w:val="en-GB" w:eastAsia="en-US"/>
              </w:rPr>
              <w:t>Tumour necrosis factor alpha/beta/c</w:t>
            </w:r>
          </w:p>
        </w:tc>
        <w:tc>
          <w:tcPr>
            <w:tcW w:w="1320" w:type="dxa"/>
            <w:vMerge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</w:tcPr>
          <w:p w14:paraId="273CE747" w14:textId="77777777" w:rsidR="00E7389D" w:rsidRPr="00C72DA4" w:rsidRDefault="00E7389D" w:rsidP="0010091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9D" w:rsidRPr="00C72DA4" w14:paraId="12F519C0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A94B43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</w:tcPr>
          <w:p w14:paraId="55B8F925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07795">
              <w:rPr>
                <w:rFonts w:ascii="Arial" w:hAnsi="Arial" w:cs="Arial"/>
                <w:sz w:val="20"/>
                <w:szCs w:val="20"/>
                <w:lang w:val="en-GB" w:eastAsia="en-US"/>
              </w:rPr>
              <w:t>Go Molecular Function</w:t>
            </w:r>
          </w:p>
        </w:tc>
        <w:tc>
          <w:tcPr>
            <w:tcW w:w="3686" w:type="dxa"/>
            <w:gridSpan w:val="2"/>
          </w:tcPr>
          <w:p w14:paraId="343AD5F0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461597">
              <w:rPr>
                <w:rFonts w:ascii="Arial" w:hAnsi="Arial" w:cs="Arial"/>
                <w:sz w:val="20"/>
                <w:szCs w:val="20"/>
                <w:lang w:val="en-GB" w:eastAsia="en-US"/>
              </w:rPr>
              <w:t>Tumor</w:t>
            </w:r>
            <w:proofErr w:type="spellEnd"/>
            <w:r w:rsidRPr="0046159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necrosis factor receptor binding</w:t>
            </w:r>
          </w:p>
        </w:tc>
        <w:tc>
          <w:tcPr>
            <w:tcW w:w="1320" w:type="dxa"/>
            <w:vMerge/>
            <w:tcBorders>
              <w:bottom w:val="single" w:sz="12" w:space="0" w:color="000000" w:themeColor="text1"/>
            </w:tcBorders>
          </w:tcPr>
          <w:p w14:paraId="502E1554" w14:textId="77777777" w:rsidR="00E7389D" w:rsidRPr="00C72DA4" w:rsidRDefault="00E7389D" w:rsidP="00100910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9D" w:rsidRPr="00100910" w14:paraId="76931FC5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000000" w:themeColor="text1"/>
              <w:bottom w:val="single" w:sz="12" w:space="0" w:color="auto"/>
            </w:tcBorders>
          </w:tcPr>
          <w:p w14:paraId="5FE9933F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14:paraId="1EC2B014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D07795">
              <w:rPr>
                <w:rFonts w:ascii="Arial" w:hAnsi="Arial" w:cs="Arial"/>
                <w:sz w:val="20"/>
                <w:szCs w:val="20"/>
                <w:lang w:val="en-GB" w:eastAsia="en-US"/>
              </w:rPr>
              <w:t>INTERPRO</w:t>
            </w:r>
          </w:p>
        </w:tc>
        <w:tc>
          <w:tcPr>
            <w:tcW w:w="3686" w:type="dxa"/>
            <w:gridSpan w:val="2"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</w:tcPr>
          <w:p w14:paraId="2DE9C117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461597">
              <w:rPr>
                <w:rFonts w:ascii="Arial" w:hAnsi="Arial" w:cs="Arial"/>
                <w:sz w:val="20"/>
                <w:szCs w:val="20"/>
                <w:lang w:val="en-GB" w:eastAsia="en-US"/>
              </w:rPr>
              <w:t>Tumour necrosis factor-like domain</w:t>
            </w:r>
          </w:p>
        </w:tc>
        <w:tc>
          <w:tcPr>
            <w:tcW w:w="1320" w:type="dxa"/>
            <w:vMerge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</w:tcPr>
          <w:p w14:paraId="7BA15051" w14:textId="77777777" w:rsidR="00E7389D" w:rsidRPr="00461597" w:rsidRDefault="00E7389D" w:rsidP="0010091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389D" w:rsidRPr="00461597" w14:paraId="54ADB9CA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36BB96" w14:textId="77777777" w:rsidR="00E7389D" w:rsidRPr="00461597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Acla</w:t>
            </w:r>
            <w:proofErr w:type="spellEnd"/>
          </w:p>
        </w:tc>
        <w:tc>
          <w:tcPr>
            <w:tcW w:w="2871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1FC71614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461597">
              <w:rPr>
                <w:rFonts w:ascii="Arial" w:hAnsi="Arial" w:cs="Arial"/>
                <w:sz w:val="20"/>
                <w:szCs w:val="20"/>
                <w:lang w:val="en-GB" w:eastAsia="en-US"/>
              </w:rPr>
              <w:t>UniProt</w:t>
            </w:r>
            <w:proofErr w:type="spellEnd"/>
            <w:r w:rsidRPr="0046159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Keywords</w:t>
            </w:r>
          </w:p>
        </w:tc>
        <w:tc>
          <w:tcPr>
            <w:tcW w:w="3686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3A6B3AA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461597">
              <w:rPr>
                <w:rFonts w:ascii="Arial" w:hAnsi="Arial" w:cs="Arial"/>
                <w:sz w:val="20"/>
                <w:szCs w:val="20"/>
                <w:lang w:val="en-GB" w:eastAsia="en-US"/>
              </w:rPr>
              <w:t>Immunity</w:t>
            </w:r>
          </w:p>
        </w:tc>
        <w:tc>
          <w:tcPr>
            <w:tcW w:w="132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1D4755A7" w14:textId="77777777" w:rsidR="00E7389D" w:rsidRPr="00461597" w:rsidRDefault="00E7389D" w:rsidP="00100910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26.37</w:t>
            </w:r>
          </w:p>
        </w:tc>
      </w:tr>
      <w:tr w:rsidR="00E7389D" w:rsidRPr="00461597" w14:paraId="438AA6FE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14:paraId="27BD5739" w14:textId="77777777" w:rsidR="00E7389D" w:rsidRPr="00461597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C7DB35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461597">
              <w:rPr>
                <w:rFonts w:ascii="Arial" w:hAnsi="Arial" w:cs="Arial"/>
                <w:sz w:val="20"/>
                <w:szCs w:val="20"/>
                <w:lang w:val="en-GB" w:eastAsia="en-US"/>
              </w:rPr>
              <w:t>GO Biological Process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314E40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461597">
              <w:rPr>
                <w:rFonts w:ascii="Arial" w:hAnsi="Arial" w:cs="Arial"/>
                <w:sz w:val="20"/>
                <w:szCs w:val="20"/>
                <w:lang w:val="en-GB" w:eastAsia="en-US"/>
              </w:rPr>
              <w:t>Immune system process</w:t>
            </w:r>
          </w:p>
        </w:tc>
        <w:tc>
          <w:tcPr>
            <w:tcW w:w="1320" w:type="dxa"/>
            <w:vMerge/>
          </w:tcPr>
          <w:p w14:paraId="2193F0D4" w14:textId="77777777" w:rsidR="00E7389D" w:rsidRPr="00461597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E7389D" w:rsidRPr="00461597" w14:paraId="141D3F87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bottom w:val="single" w:sz="12" w:space="0" w:color="auto"/>
            </w:tcBorders>
          </w:tcPr>
          <w:p w14:paraId="39353E08" w14:textId="77777777" w:rsidR="00E7389D" w:rsidRPr="00461597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9997FD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461597">
              <w:rPr>
                <w:rFonts w:ascii="Arial" w:hAnsi="Arial" w:cs="Arial"/>
                <w:sz w:val="20"/>
                <w:szCs w:val="20"/>
                <w:lang w:val="en-GB" w:eastAsia="en-US"/>
              </w:rPr>
              <w:t>UniProt</w:t>
            </w:r>
            <w:proofErr w:type="spellEnd"/>
            <w:r w:rsidRPr="0046159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Keywords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68B203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461597">
              <w:rPr>
                <w:rFonts w:ascii="Arial" w:hAnsi="Arial" w:cs="Arial"/>
                <w:sz w:val="20"/>
                <w:szCs w:val="20"/>
                <w:lang w:val="en-GB" w:eastAsia="en-US"/>
              </w:rPr>
              <w:t>Innate immunity</w:t>
            </w:r>
          </w:p>
        </w:tc>
        <w:tc>
          <w:tcPr>
            <w:tcW w:w="1320" w:type="dxa"/>
            <w:vMerge/>
          </w:tcPr>
          <w:p w14:paraId="2881BC30" w14:textId="77777777" w:rsidR="00E7389D" w:rsidRPr="00461597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E7389D" w:rsidRPr="00461597" w14:paraId="7D8CFAA9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14:paraId="411AE4F6" w14:textId="77777777" w:rsidR="00E7389D" w:rsidRPr="00461597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FCE9B6E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461597">
              <w:rPr>
                <w:rFonts w:ascii="Arial" w:hAnsi="Arial" w:cs="Arial"/>
                <w:sz w:val="20"/>
                <w:szCs w:val="20"/>
                <w:lang w:val="en-GB" w:eastAsia="en-US"/>
              </w:rPr>
              <w:t>GO Biological Process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742D95E3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461597">
              <w:rPr>
                <w:rFonts w:ascii="Arial" w:hAnsi="Arial" w:cs="Arial"/>
                <w:sz w:val="20"/>
                <w:szCs w:val="20"/>
                <w:lang w:val="en-GB" w:eastAsia="en-US"/>
              </w:rPr>
              <w:t>Innate immune response</w:t>
            </w:r>
          </w:p>
        </w:tc>
        <w:tc>
          <w:tcPr>
            <w:tcW w:w="1320" w:type="dxa"/>
            <w:vMerge/>
            <w:tcBorders>
              <w:bottom w:val="single" w:sz="12" w:space="0" w:color="000000" w:themeColor="text1"/>
            </w:tcBorders>
          </w:tcPr>
          <w:p w14:paraId="13DC17E2" w14:textId="77777777" w:rsidR="00E7389D" w:rsidRPr="00461597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E7389D" w:rsidRPr="00461597" w14:paraId="28D96CD7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bottom w:val="single" w:sz="12" w:space="0" w:color="auto"/>
            </w:tcBorders>
          </w:tcPr>
          <w:p w14:paraId="24792320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64554AC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GO Biological Process</w:t>
            </w:r>
          </w:p>
        </w:tc>
        <w:tc>
          <w:tcPr>
            <w:tcW w:w="3686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CCE205A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Immune response</w:t>
            </w:r>
          </w:p>
        </w:tc>
        <w:tc>
          <w:tcPr>
            <w:tcW w:w="132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4ABBFCAE" w14:textId="77777777" w:rsidR="00E7389D" w:rsidRPr="00461597" w:rsidRDefault="00E7389D" w:rsidP="00100910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9.85</w:t>
            </w:r>
          </w:p>
        </w:tc>
      </w:tr>
      <w:tr w:rsidR="00E7389D" w:rsidRPr="00461597" w14:paraId="5E4FF84A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14:paraId="38312E7A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D0C4E7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KEGG PATHWAY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1EAFCD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Cytokine-cytokine receptor interaction</w:t>
            </w:r>
          </w:p>
        </w:tc>
        <w:tc>
          <w:tcPr>
            <w:tcW w:w="1320" w:type="dxa"/>
            <w:vMerge/>
          </w:tcPr>
          <w:p w14:paraId="214B3C2B" w14:textId="77777777" w:rsidR="00E7389D" w:rsidRPr="00461597" w:rsidRDefault="00E7389D" w:rsidP="0010091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389D" w:rsidRPr="00461597" w14:paraId="40C39C2B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bottom w:val="single" w:sz="12" w:space="0" w:color="auto"/>
            </w:tcBorders>
          </w:tcPr>
          <w:p w14:paraId="3CF51157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A70402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UniProt</w:t>
            </w:r>
            <w:proofErr w:type="spellEnd"/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Keywords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518C8E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Cytokine</w:t>
            </w:r>
          </w:p>
        </w:tc>
        <w:tc>
          <w:tcPr>
            <w:tcW w:w="1320" w:type="dxa"/>
            <w:vMerge/>
          </w:tcPr>
          <w:p w14:paraId="4D89F688" w14:textId="77777777" w:rsidR="00E7389D" w:rsidRPr="00461597" w:rsidRDefault="00E7389D" w:rsidP="00100910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389D" w:rsidRPr="00461597" w14:paraId="2664298D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14:paraId="2B4AF284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75468412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Go Molecular Function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D45A9BD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Cytokine activity</w:t>
            </w:r>
          </w:p>
        </w:tc>
        <w:tc>
          <w:tcPr>
            <w:tcW w:w="1320" w:type="dxa"/>
            <w:vMerge/>
            <w:tcBorders>
              <w:bottom w:val="single" w:sz="12" w:space="0" w:color="000000" w:themeColor="text1"/>
            </w:tcBorders>
          </w:tcPr>
          <w:p w14:paraId="648D9398" w14:textId="77777777" w:rsidR="00E7389D" w:rsidRPr="00461597" w:rsidRDefault="00E7389D" w:rsidP="0010091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389D" w:rsidRPr="00461597" w14:paraId="3F2A86C1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bottom w:val="single" w:sz="12" w:space="0" w:color="auto"/>
            </w:tcBorders>
          </w:tcPr>
          <w:p w14:paraId="6B9ADF4F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8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2F75D8C7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GO Biological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Process</w:t>
            </w:r>
          </w:p>
        </w:tc>
        <w:tc>
          <w:tcPr>
            <w:tcW w:w="283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70A2687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B74F9E3" w14:textId="77777777" w:rsidR="00E7389D" w:rsidRPr="00D07795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47103">
              <w:rPr>
                <w:rFonts w:ascii="Arial" w:hAnsi="Arial" w:cs="Arial"/>
                <w:sz w:val="20"/>
                <w:szCs w:val="20"/>
                <w:lang w:val="en-GB" w:eastAsia="en-US"/>
              </w:rPr>
              <w:t>Cellular response to interferon-gamma</w:t>
            </w:r>
          </w:p>
        </w:tc>
        <w:tc>
          <w:tcPr>
            <w:tcW w:w="132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11A34213" w14:textId="77777777" w:rsidR="00E7389D" w:rsidRPr="00461597" w:rsidRDefault="00E7389D" w:rsidP="00100910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3.83</w:t>
            </w:r>
          </w:p>
        </w:tc>
      </w:tr>
      <w:tr w:rsidR="00E7389D" w:rsidRPr="00461597" w14:paraId="7356E756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14:paraId="5D806843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2CBD7D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GO Biological Process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6E3483" w14:textId="77777777" w:rsidR="00E7389D" w:rsidRPr="00D07795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47103">
              <w:rPr>
                <w:rFonts w:ascii="Arial" w:hAnsi="Arial" w:cs="Arial"/>
                <w:sz w:val="20"/>
                <w:szCs w:val="20"/>
                <w:lang w:val="en-GB" w:eastAsia="en-US"/>
              </w:rPr>
              <w:t>Cell chemotaxis</w:t>
            </w:r>
          </w:p>
        </w:tc>
        <w:tc>
          <w:tcPr>
            <w:tcW w:w="1320" w:type="dxa"/>
            <w:vMerge/>
          </w:tcPr>
          <w:p w14:paraId="03E13FBD" w14:textId="77777777" w:rsidR="00E7389D" w:rsidRPr="00461597" w:rsidRDefault="00E7389D" w:rsidP="0010091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389D" w:rsidRPr="00461597" w14:paraId="0DD3D923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bottom w:val="single" w:sz="12" w:space="0" w:color="auto"/>
            </w:tcBorders>
          </w:tcPr>
          <w:p w14:paraId="67F5B87D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B38321" w14:textId="77777777" w:rsidR="00E7389D" w:rsidRPr="00250FF3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GO Biological Process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BA5C28" w14:textId="77777777" w:rsidR="00E7389D" w:rsidRPr="00250FF3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47103">
              <w:rPr>
                <w:rFonts w:ascii="Arial" w:hAnsi="Arial" w:cs="Arial"/>
                <w:sz w:val="20"/>
                <w:szCs w:val="20"/>
                <w:lang w:val="en-GB" w:eastAsia="en-US"/>
              </w:rPr>
              <w:t>Chemotaxis</w:t>
            </w:r>
          </w:p>
        </w:tc>
        <w:tc>
          <w:tcPr>
            <w:tcW w:w="1320" w:type="dxa"/>
            <w:vMerge/>
          </w:tcPr>
          <w:p w14:paraId="7D6E5C32" w14:textId="77777777" w:rsidR="00E7389D" w:rsidRPr="00461597" w:rsidRDefault="00E7389D" w:rsidP="00100910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389D" w:rsidRPr="00461597" w14:paraId="1288EACF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14:paraId="133DC7A5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20B3B2" w14:textId="77777777" w:rsidR="00E7389D" w:rsidRPr="00250FF3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UniProt</w:t>
            </w:r>
            <w:proofErr w:type="spellEnd"/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Keywords</w:t>
            </w:r>
          </w:p>
        </w:tc>
        <w:tc>
          <w:tcPr>
            <w:tcW w:w="28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9A9AB1" w14:textId="77777777" w:rsidR="00E7389D" w:rsidRPr="00250FF3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2D48C7" w14:textId="77777777" w:rsidR="00E7389D" w:rsidRPr="00250FF3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47103">
              <w:rPr>
                <w:rFonts w:ascii="Arial" w:hAnsi="Arial" w:cs="Arial"/>
                <w:sz w:val="20"/>
                <w:szCs w:val="20"/>
                <w:lang w:val="en-GB" w:eastAsia="en-US"/>
              </w:rPr>
              <w:t>Chemotaxis</w:t>
            </w:r>
          </w:p>
        </w:tc>
        <w:tc>
          <w:tcPr>
            <w:tcW w:w="1320" w:type="dxa"/>
            <w:vMerge/>
          </w:tcPr>
          <w:p w14:paraId="6F4DB0EA" w14:textId="77777777" w:rsidR="00E7389D" w:rsidRPr="00461597" w:rsidRDefault="00E7389D" w:rsidP="0010091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389D" w:rsidRPr="00461597" w14:paraId="3401986A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bottom w:val="single" w:sz="12" w:space="0" w:color="auto"/>
            </w:tcBorders>
          </w:tcPr>
          <w:p w14:paraId="29A4CCF6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57B0F7" w14:textId="77777777" w:rsidR="00E7389D" w:rsidRPr="00250FF3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GO Biological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Process</w:t>
            </w:r>
          </w:p>
        </w:tc>
        <w:tc>
          <w:tcPr>
            <w:tcW w:w="28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2CC507" w14:textId="77777777" w:rsidR="00E7389D" w:rsidRPr="00250FF3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8F7A73" w14:textId="77777777" w:rsidR="00E7389D" w:rsidRPr="00250FF3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47103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Chemokine-mediated </w:t>
            </w:r>
            <w:proofErr w:type="spellStart"/>
            <w:r w:rsidRPr="00E47103">
              <w:rPr>
                <w:rFonts w:ascii="Arial" w:hAnsi="Arial" w:cs="Arial"/>
                <w:sz w:val="20"/>
                <w:szCs w:val="20"/>
                <w:lang w:val="en-GB" w:eastAsia="en-US"/>
              </w:rPr>
              <w:t>signaling</w:t>
            </w:r>
            <w:proofErr w:type="spellEnd"/>
            <w:r w:rsidRPr="00E47103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pathway</w:t>
            </w:r>
          </w:p>
        </w:tc>
        <w:tc>
          <w:tcPr>
            <w:tcW w:w="1320" w:type="dxa"/>
            <w:vMerge/>
          </w:tcPr>
          <w:p w14:paraId="1C5996F9" w14:textId="77777777" w:rsidR="00E7389D" w:rsidRPr="00461597" w:rsidRDefault="00E7389D" w:rsidP="00100910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389D" w:rsidRPr="00461597" w14:paraId="75752B32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14:paraId="3C40D8B3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C61BBA" w14:textId="77777777" w:rsidR="00E7389D" w:rsidRPr="00250FF3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INTERPRO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227A19" w14:textId="77777777" w:rsidR="00E7389D" w:rsidRPr="00250FF3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47103">
              <w:rPr>
                <w:rFonts w:ascii="Arial" w:hAnsi="Arial" w:cs="Arial"/>
                <w:sz w:val="20"/>
                <w:szCs w:val="20"/>
                <w:lang w:val="en-GB" w:eastAsia="en-US"/>
              </w:rPr>
              <w:t>CC chemokine, conserved site</w:t>
            </w:r>
          </w:p>
        </w:tc>
        <w:tc>
          <w:tcPr>
            <w:tcW w:w="1320" w:type="dxa"/>
            <w:vMerge/>
          </w:tcPr>
          <w:p w14:paraId="12B2EE85" w14:textId="77777777" w:rsidR="00E7389D" w:rsidRPr="00461597" w:rsidRDefault="00E7389D" w:rsidP="0010091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389D" w:rsidRPr="00461597" w14:paraId="11F810EA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bottom w:val="single" w:sz="12" w:space="0" w:color="auto"/>
            </w:tcBorders>
          </w:tcPr>
          <w:p w14:paraId="2B0716ED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073C04" w14:textId="77777777" w:rsidR="00E7389D" w:rsidRPr="00250FF3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INTERPRO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964EF5" w14:textId="77777777" w:rsidR="00E7389D" w:rsidRPr="00250FF3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47103">
              <w:rPr>
                <w:rFonts w:ascii="Arial" w:hAnsi="Arial" w:cs="Arial"/>
                <w:sz w:val="20"/>
                <w:szCs w:val="20"/>
                <w:lang w:val="en-GB" w:eastAsia="en-US"/>
              </w:rPr>
              <w:t>Chemokine interleukin-8-like domain</w:t>
            </w:r>
          </w:p>
        </w:tc>
        <w:tc>
          <w:tcPr>
            <w:tcW w:w="1320" w:type="dxa"/>
            <w:vMerge/>
          </w:tcPr>
          <w:p w14:paraId="2B5FB6E4" w14:textId="77777777" w:rsidR="00E7389D" w:rsidRPr="00461597" w:rsidRDefault="00E7389D" w:rsidP="00100910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389D" w:rsidRPr="00461597" w14:paraId="2E17B07D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14:paraId="74AD8A71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A4FC0C" w14:textId="77777777" w:rsidR="00E7389D" w:rsidRPr="00250FF3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GO Biological Process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6640E3" w14:textId="77777777" w:rsidR="00E7389D" w:rsidRPr="00250FF3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47103">
              <w:rPr>
                <w:rFonts w:ascii="Arial" w:hAnsi="Arial" w:cs="Arial"/>
                <w:sz w:val="20"/>
                <w:szCs w:val="20"/>
                <w:lang w:val="en-GB" w:eastAsia="en-US"/>
              </w:rPr>
              <w:t>Neutrophil chemotaxis</w:t>
            </w:r>
          </w:p>
        </w:tc>
        <w:tc>
          <w:tcPr>
            <w:tcW w:w="1320" w:type="dxa"/>
            <w:vMerge/>
          </w:tcPr>
          <w:p w14:paraId="31D406DA" w14:textId="77777777" w:rsidR="00E7389D" w:rsidRPr="00461597" w:rsidRDefault="00E7389D" w:rsidP="0010091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389D" w:rsidRPr="00461597" w14:paraId="4C506D84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bottom w:val="single" w:sz="12" w:space="0" w:color="auto"/>
            </w:tcBorders>
          </w:tcPr>
          <w:p w14:paraId="5DDA7656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FAB3A9" w14:textId="77777777" w:rsidR="00E7389D" w:rsidRPr="00250FF3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Go Molecular Function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CB1BE2" w14:textId="77777777" w:rsidR="00E7389D" w:rsidRPr="00250FF3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47103">
              <w:rPr>
                <w:rFonts w:ascii="Arial" w:hAnsi="Arial" w:cs="Arial"/>
                <w:sz w:val="20"/>
                <w:szCs w:val="20"/>
                <w:lang w:val="en-GB" w:eastAsia="en-US"/>
              </w:rPr>
              <w:t>Chemokine activity</w:t>
            </w:r>
          </w:p>
        </w:tc>
        <w:tc>
          <w:tcPr>
            <w:tcW w:w="1320" w:type="dxa"/>
            <w:vMerge/>
          </w:tcPr>
          <w:p w14:paraId="26F97D80" w14:textId="77777777" w:rsidR="00E7389D" w:rsidRPr="00461597" w:rsidRDefault="00E7389D" w:rsidP="00100910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389D" w:rsidRPr="00461597" w14:paraId="4AD65231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14:paraId="44864EDF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8CACC2" w14:textId="77777777" w:rsidR="00E7389D" w:rsidRPr="00250FF3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GO Biological Process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CC6FF6" w14:textId="77777777" w:rsidR="00E7389D" w:rsidRPr="00250FF3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47103">
              <w:rPr>
                <w:rFonts w:ascii="Arial" w:hAnsi="Arial" w:cs="Arial"/>
                <w:sz w:val="20"/>
                <w:szCs w:val="20"/>
                <w:lang w:val="en-GB" w:eastAsia="en-US"/>
              </w:rPr>
              <w:t>Lymphocyte chemotaxis</w:t>
            </w:r>
          </w:p>
        </w:tc>
        <w:tc>
          <w:tcPr>
            <w:tcW w:w="1320" w:type="dxa"/>
            <w:vMerge/>
          </w:tcPr>
          <w:p w14:paraId="77EFEFFA" w14:textId="77777777" w:rsidR="00E7389D" w:rsidRPr="00461597" w:rsidRDefault="00E7389D" w:rsidP="0010091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389D" w:rsidRPr="00461597" w14:paraId="273C7F04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bottom w:val="single" w:sz="12" w:space="0" w:color="auto"/>
            </w:tcBorders>
          </w:tcPr>
          <w:p w14:paraId="1B1C02D6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A587D6" w14:textId="77777777" w:rsidR="00E7389D" w:rsidRPr="00250FF3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GO Biological Process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58EA25" w14:textId="77777777" w:rsidR="00E7389D" w:rsidRPr="00250FF3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47103">
              <w:rPr>
                <w:rFonts w:ascii="Arial" w:hAnsi="Arial" w:cs="Arial"/>
                <w:sz w:val="20"/>
                <w:szCs w:val="20"/>
                <w:lang w:val="en-GB" w:eastAsia="en-US"/>
              </w:rPr>
              <w:t>Monocyte chemotaxis</w:t>
            </w:r>
          </w:p>
        </w:tc>
        <w:tc>
          <w:tcPr>
            <w:tcW w:w="1320" w:type="dxa"/>
            <w:vMerge/>
          </w:tcPr>
          <w:p w14:paraId="0F1B5946" w14:textId="77777777" w:rsidR="00E7389D" w:rsidRPr="00461597" w:rsidRDefault="00E7389D" w:rsidP="00100910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389D" w:rsidRPr="00100910" w14:paraId="09AA4179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14:paraId="56E172DA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FFEA17" w14:textId="77777777" w:rsidR="00E7389D" w:rsidRPr="00250FF3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GO Biological Process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C44679" w14:textId="77777777" w:rsidR="00E7389D" w:rsidRPr="00250FF3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47103">
              <w:rPr>
                <w:rFonts w:ascii="Arial" w:hAnsi="Arial" w:cs="Arial"/>
                <w:sz w:val="20"/>
                <w:szCs w:val="20"/>
                <w:lang w:val="en-GB" w:eastAsia="en-US"/>
              </w:rPr>
              <w:t>Positive regulation of natural killer cell chemotaxis</w:t>
            </w:r>
          </w:p>
        </w:tc>
        <w:tc>
          <w:tcPr>
            <w:tcW w:w="1320" w:type="dxa"/>
            <w:vMerge/>
          </w:tcPr>
          <w:p w14:paraId="11D09329" w14:textId="77777777" w:rsidR="00E7389D" w:rsidRPr="00461597" w:rsidRDefault="00E7389D" w:rsidP="0010091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389D" w:rsidRPr="00461597" w14:paraId="7343B555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bottom w:val="single" w:sz="12" w:space="0" w:color="auto"/>
            </w:tcBorders>
          </w:tcPr>
          <w:p w14:paraId="639E6D90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DE0667" w14:textId="77777777" w:rsidR="00E7389D" w:rsidRPr="00250FF3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Go Molecular Function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A87623" w14:textId="77777777" w:rsidR="00E7389D" w:rsidRPr="00250FF3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47103">
              <w:rPr>
                <w:rFonts w:ascii="Arial" w:hAnsi="Arial" w:cs="Arial"/>
                <w:sz w:val="20"/>
                <w:szCs w:val="20"/>
                <w:lang w:val="en-GB" w:eastAsia="en-US"/>
              </w:rPr>
              <w:t>CCR chemokine receptor binding</w:t>
            </w:r>
          </w:p>
        </w:tc>
        <w:tc>
          <w:tcPr>
            <w:tcW w:w="1320" w:type="dxa"/>
            <w:vMerge/>
          </w:tcPr>
          <w:p w14:paraId="40C8D297" w14:textId="77777777" w:rsidR="00E7389D" w:rsidRPr="00461597" w:rsidRDefault="00E7389D" w:rsidP="00100910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389D" w:rsidRPr="00461597" w14:paraId="43F0822D" w14:textId="77777777" w:rsidTr="00100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14:paraId="07906CDA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AAC9B1F" w14:textId="77777777" w:rsidR="00E7389D" w:rsidRPr="00250FF3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GO Biological Process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C7C961" w14:textId="77777777" w:rsidR="00E7389D" w:rsidRPr="00250FF3" w:rsidRDefault="00E7389D" w:rsidP="00100910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47103">
              <w:rPr>
                <w:rFonts w:ascii="Arial" w:hAnsi="Arial" w:cs="Arial"/>
                <w:sz w:val="20"/>
                <w:szCs w:val="20"/>
                <w:lang w:val="en-GB" w:eastAsia="en-US"/>
              </w:rPr>
              <w:t>Macrophage chemotaxis</w:t>
            </w:r>
          </w:p>
        </w:tc>
        <w:tc>
          <w:tcPr>
            <w:tcW w:w="1320" w:type="dxa"/>
            <w:vMerge/>
          </w:tcPr>
          <w:p w14:paraId="3D857544" w14:textId="77777777" w:rsidR="00E7389D" w:rsidRPr="00461597" w:rsidRDefault="00E7389D" w:rsidP="00100910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7389D" w:rsidRPr="00461597" w14:paraId="33128D63" w14:textId="77777777" w:rsidTr="00100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Merge/>
            <w:tcBorders>
              <w:bottom w:val="single" w:sz="12" w:space="0" w:color="auto"/>
            </w:tcBorders>
          </w:tcPr>
          <w:p w14:paraId="7CBED555" w14:textId="77777777" w:rsidR="00E7389D" w:rsidRPr="00D07795" w:rsidRDefault="00E7389D" w:rsidP="00100910">
            <w:pPr>
              <w:spacing w:before="100" w:before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400B07AE" w14:textId="69C6DC83" w:rsidR="00E7389D" w:rsidRPr="00250FF3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50FF3">
              <w:rPr>
                <w:rFonts w:ascii="Arial" w:hAnsi="Arial" w:cs="Arial"/>
                <w:sz w:val="20"/>
                <w:szCs w:val="20"/>
                <w:lang w:val="en-GB" w:eastAsia="en-US"/>
              </w:rPr>
              <w:t>GO Biological Process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23263F9" w14:textId="77777777" w:rsidR="00E7389D" w:rsidRPr="00250FF3" w:rsidRDefault="00E7389D" w:rsidP="00100910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E47103">
              <w:rPr>
                <w:rFonts w:ascii="Arial" w:hAnsi="Arial" w:cs="Arial"/>
                <w:sz w:val="20"/>
                <w:szCs w:val="20"/>
                <w:lang w:val="en-GB" w:eastAsia="en-US"/>
              </w:rPr>
              <w:t>Eosinophil chemotaxis</w:t>
            </w:r>
          </w:p>
        </w:tc>
        <w:tc>
          <w:tcPr>
            <w:tcW w:w="1320" w:type="dxa"/>
            <w:vMerge/>
            <w:tcBorders>
              <w:bottom w:val="single" w:sz="12" w:space="0" w:color="000000" w:themeColor="text1"/>
            </w:tcBorders>
          </w:tcPr>
          <w:p w14:paraId="6231FF0D" w14:textId="77777777" w:rsidR="00E7389D" w:rsidRPr="00461597" w:rsidRDefault="00E7389D" w:rsidP="00100910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6973367" w14:textId="77777777" w:rsidR="00CC3EB4" w:rsidRDefault="00CC3EB4"/>
    <w:sectPr w:rsidR="00CC3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9D"/>
    <w:rsid w:val="00CC3EB4"/>
    <w:rsid w:val="00E7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642145"/>
  <w15:chartTrackingRefBased/>
  <w15:docId w15:val="{CA4ACFAD-C139-D942-A058-18050421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9D"/>
    <w:rPr>
      <w:rFonts w:ascii="Times New Roman" w:eastAsia="Times New Roman" w:hAnsi="Times New Roman" w:cs="Times New Roman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99"/>
    <w:rsid w:val="00E7389D"/>
    <w:rPr>
      <w:rFonts w:eastAsiaTheme="minorEastAsia"/>
      <w:lang w:val="pt-PT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Costa</dc:creator>
  <cp:keywords/>
  <dc:description/>
  <cp:lastModifiedBy>Ana Costa</cp:lastModifiedBy>
  <cp:revision>1</cp:revision>
  <dcterms:created xsi:type="dcterms:W3CDTF">2022-10-26T10:06:00Z</dcterms:created>
  <dcterms:modified xsi:type="dcterms:W3CDTF">2022-10-26T10:07:00Z</dcterms:modified>
</cp:coreProperties>
</file>