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829A2">
        <w:fldChar w:fldCharType="begin"/>
      </w:r>
      <w:r w:rsidR="00A829A2">
        <w:instrText xml:space="preserve"> HYPERLINK "https://biosharing.org/" \t "_blank" </w:instrText>
      </w:r>
      <w:r w:rsidR="00A829A2">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829A2">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0A20877" w14:textId="6DDCBDCB" w:rsidR="002F5FB4" w:rsidRPr="00976FAC" w:rsidRDefault="00976FAC" w:rsidP="004A590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976FAC">
        <w:rPr>
          <w:rFonts w:asciiTheme="minorHAnsi" w:hAnsiTheme="minorHAnsi" w:cstheme="minorHAnsi"/>
          <w:sz w:val="22"/>
          <w:szCs w:val="22"/>
        </w:rPr>
        <w:t>This section does not apply to our study because we did not collect data. In this study, we have developed a disease modelling approach with emulator-based global sensitivity analysis to systematically quantify which factors drive the establishment and spread of drug-resistant </w:t>
      </w:r>
      <w:r w:rsidRPr="00976FAC">
        <w:rPr>
          <w:rStyle w:val="Emphasis"/>
          <w:rFonts w:asciiTheme="minorHAnsi" w:hAnsiTheme="minorHAnsi" w:cstheme="minorHAnsi"/>
          <w:color w:val="0E101A"/>
          <w:sz w:val="22"/>
          <w:szCs w:val="22"/>
        </w:rPr>
        <w:t>Plasmodium falciparum </w:t>
      </w:r>
      <w:r w:rsidRPr="00976FAC">
        <w:rPr>
          <w:rFonts w:asciiTheme="minorHAnsi" w:hAnsiTheme="minorHAnsi" w:cstheme="minorHAnsi"/>
          <w:sz w:val="22"/>
          <w:szCs w:val="22"/>
        </w:rPr>
        <w:t>parasites.</w:t>
      </w:r>
    </w:p>
    <w:p w14:paraId="4869F5A1" w14:textId="77777777" w:rsidR="00976FAC" w:rsidRPr="00976FAC" w:rsidRDefault="00976FAC" w:rsidP="004A590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2ED0E1A8" w14:textId="0049066F" w:rsidR="002F5FB4" w:rsidRPr="00976FAC" w:rsidRDefault="00976FA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976FAC">
        <w:rPr>
          <w:rFonts w:asciiTheme="minorHAnsi" w:hAnsiTheme="minorHAnsi" w:cstheme="minorHAnsi"/>
          <w:sz w:val="22"/>
          <w:szCs w:val="22"/>
        </w:rPr>
        <w:t xml:space="preserve">We simulated the spread of drug-resistant parasites in a </w:t>
      </w:r>
      <w:r w:rsidR="00BB6C85">
        <w:rPr>
          <w:rFonts w:asciiTheme="minorHAnsi" w:hAnsiTheme="minorHAnsi" w:cstheme="minorHAnsi"/>
          <w:sz w:val="22"/>
          <w:szCs w:val="22"/>
        </w:rPr>
        <w:t xml:space="preserve">simulated </w:t>
      </w:r>
      <w:r w:rsidRPr="00976FAC">
        <w:rPr>
          <w:rFonts w:asciiTheme="minorHAnsi" w:hAnsiTheme="minorHAnsi" w:cstheme="minorHAnsi"/>
          <w:sz w:val="22"/>
          <w:szCs w:val="22"/>
        </w:rPr>
        <w:t>population composed of 100’000 humans. We used a large population size to minimize the stochastic fluctuation of allele frequency, also called genetic drift (as shown by Hasting et al. (2020)). Reducing the strength of genetic drift made the analysis more efficient by minimizing the risk that the resistant genotype becomes extinct due to stochastic extinction and by increasing the accuracy of the esti</w:t>
      </w:r>
      <w:r w:rsidR="007C3278">
        <w:rPr>
          <w:rFonts w:asciiTheme="minorHAnsi" w:hAnsiTheme="minorHAnsi" w:cstheme="minorHAnsi"/>
          <w:sz w:val="22"/>
          <w:szCs w:val="22"/>
        </w:rPr>
        <w:t>mated rate of spread (see Methods</w:t>
      </w:r>
      <w:r w:rsidRPr="00976FAC">
        <w:rPr>
          <w:rFonts w:asciiTheme="minorHAnsi" w:hAnsiTheme="minorHAnsi" w:cstheme="minorHAnsi"/>
          <w:sz w:val="22"/>
          <w:szCs w:val="22"/>
        </w:rPr>
        <w:t>: simulate and estimate the rate of spread of the drug-resistant genotype).</w:t>
      </w:r>
    </w:p>
    <w:p w14:paraId="2859BA8F" w14:textId="77777777" w:rsidR="00976FAC" w:rsidRPr="00976FAC" w:rsidRDefault="00976FA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2F0D86D0" w14:textId="6EFC49CF" w:rsidR="002F5FB4" w:rsidRPr="00976FAC" w:rsidRDefault="00976FA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976FAC">
        <w:rPr>
          <w:rFonts w:asciiTheme="minorHAnsi" w:hAnsiTheme="minorHAnsi" w:cstheme="minorHAnsi"/>
          <w:sz w:val="22"/>
          <w:szCs w:val="22"/>
        </w:rPr>
        <w:t xml:space="preserve">We used a </w:t>
      </w:r>
      <w:r w:rsidR="00BB6C85">
        <w:rPr>
          <w:rFonts w:asciiTheme="minorHAnsi" w:hAnsiTheme="minorHAnsi" w:cstheme="minorHAnsi"/>
          <w:sz w:val="22"/>
          <w:szCs w:val="22"/>
        </w:rPr>
        <w:t xml:space="preserve">simulated </w:t>
      </w:r>
      <w:r w:rsidRPr="00976FAC">
        <w:rPr>
          <w:rFonts w:asciiTheme="minorHAnsi" w:hAnsiTheme="minorHAnsi" w:cstheme="minorHAnsi"/>
          <w:sz w:val="22"/>
          <w:szCs w:val="22"/>
        </w:rPr>
        <w:t xml:space="preserve">human </w:t>
      </w:r>
      <w:r w:rsidR="00BB6C85">
        <w:rPr>
          <w:rFonts w:asciiTheme="minorHAnsi" w:hAnsiTheme="minorHAnsi" w:cstheme="minorHAnsi"/>
          <w:sz w:val="22"/>
          <w:szCs w:val="22"/>
        </w:rPr>
        <w:t xml:space="preserve">population </w:t>
      </w:r>
      <w:r w:rsidRPr="00976FAC">
        <w:rPr>
          <w:rFonts w:asciiTheme="minorHAnsi" w:hAnsiTheme="minorHAnsi" w:cstheme="minorHAnsi"/>
          <w:sz w:val="22"/>
          <w:szCs w:val="22"/>
        </w:rPr>
        <w:t xml:space="preserve">size of 10’000 humans when we assessed the probability of establishment of resistant parasites. In this case, we used a smaller population size </w:t>
      </w:r>
      <w:r w:rsidR="00BB6C85">
        <w:rPr>
          <w:rFonts w:asciiTheme="minorHAnsi" w:hAnsiTheme="minorHAnsi" w:cstheme="minorHAnsi"/>
          <w:sz w:val="22"/>
          <w:szCs w:val="22"/>
        </w:rPr>
        <w:t xml:space="preserve">than our previous simulations </w:t>
      </w:r>
      <w:r w:rsidRPr="00976FAC">
        <w:rPr>
          <w:rFonts w:asciiTheme="minorHAnsi" w:hAnsiTheme="minorHAnsi" w:cstheme="minorHAnsi"/>
          <w:sz w:val="22"/>
          <w:szCs w:val="22"/>
        </w:rPr>
        <w:t xml:space="preserve">as we did not aim to </w:t>
      </w:r>
      <w:proofErr w:type="spellStart"/>
      <w:r w:rsidRPr="00976FAC">
        <w:rPr>
          <w:rFonts w:asciiTheme="minorHAnsi" w:hAnsiTheme="minorHAnsi" w:cstheme="minorHAnsi"/>
          <w:sz w:val="22"/>
          <w:szCs w:val="22"/>
        </w:rPr>
        <w:t>minimise</w:t>
      </w:r>
      <w:proofErr w:type="spellEnd"/>
      <w:r w:rsidRPr="00976FAC">
        <w:rPr>
          <w:rFonts w:asciiTheme="minorHAnsi" w:hAnsiTheme="minorHAnsi" w:cstheme="minorHAnsi"/>
          <w:sz w:val="22"/>
          <w:szCs w:val="22"/>
        </w:rPr>
        <w:t xml:space="preserve"> the influence of genetic drift but to assess its effect on the establishment of drug-resistant parasites. Using a smaller population size made t</w:t>
      </w:r>
      <w:r w:rsidR="007C3278">
        <w:rPr>
          <w:rFonts w:asciiTheme="minorHAnsi" w:hAnsiTheme="minorHAnsi" w:cstheme="minorHAnsi"/>
          <w:sz w:val="22"/>
          <w:szCs w:val="22"/>
        </w:rPr>
        <w:t>he process more efficient (see M</w:t>
      </w:r>
      <w:r w:rsidRPr="00976FAC">
        <w:rPr>
          <w:rFonts w:asciiTheme="minorHAnsi" w:hAnsiTheme="minorHAnsi" w:cstheme="minorHAnsi"/>
          <w:sz w:val="22"/>
          <w:szCs w:val="22"/>
        </w:rPr>
        <w:t>ethod</w:t>
      </w:r>
      <w:r w:rsidR="007C3278">
        <w:rPr>
          <w:rFonts w:asciiTheme="minorHAnsi" w:hAnsiTheme="minorHAnsi" w:cstheme="minorHAnsi"/>
          <w:sz w:val="22"/>
          <w:szCs w:val="22"/>
        </w:rPr>
        <w:t>s</w:t>
      </w:r>
      <w:r w:rsidRPr="00976FAC">
        <w:rPr>
          <w:rFonts w:asciiTheme="minorHAnsi" w:hAnsiTheme="minorHAnsi" w:cstheme="minorHAnsi"/>
          <w:sz w:val="22"/>
          <w:szCs w:val="22"/>
        </w:rPr>
        <w:t>: establishment of drug resistance).</w:t>
      </w:r>
    </w:p>
    <w:p w14:paraId="7FF843C9" w14:textId="77777777" w:rsidR="0015519A" w:rsidRPr="00505C51" w:rsidRDefault="0015519A" w:rsidP="00FF5ED7">
      <w:pPr>
        <w:rPr>
          <w:rFonts w:asciiTheme="minorHAnsi" w:hAnsiTheme="minorHAnsi"/>
          <w:sz w:val="22"/>
          <w:szCs w:val="22"/>
          <w:lang w:val="en-GB"/>
        </w:rPr>
      </w:pPr>
    </w:p>
    <w:p w14:paraId="6207056E" w14:textId="56C63396"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4AF7D0E" w14:textId="46A0D1D4" w:rsidR="00976FAC" w:rsidRPr="00E738EF" w:rsidRDefault="007C3278" w:rsidP="002F5F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E738EF">
        <w:rPr>
          <w:rFonts w:asciiTheme="minorHAnsi" w:hAnsiTheme="minorHAnsi"/>
          <w:sz w:val="22"/>
          <w:lang w:val="en-GB"/>
        </w:rPr>
        <w:t>B</w:t>
      </w:r>
      <w:proofErr w:type="spellStart"/>
      <w:r w:rsidR="00976FAC" w:rsidRPr="00E738EF">
        <w:rPr>
          <w:rFonts w:asciiTheme="minorHAnsi" w:hAnsiTheme="minorHAnsi"/>
          <w:sz w:val="22"/>
        </w:rPr>
        <w:t>iologic</w:t>
      </w:r>
      <w:r w:rsidRPr="00E738EF">
        <w:rPr>
          <w:rFonts w:asciiTheme="minorHAnsi" w:hAnsiTheme="minorHAnsi"/>
          <w:sz w:val="22"/>
        </w:rPr>
        <w:t>al</w:t>
      </w:r>
      <w:proofErr w:type="spellEnd"/>
      <w:r w:rsidRPr="00E738EF">
        <w:rPr>
          <w:rFonts w:asciiTheme="minorHAnsi" w:hAnsiTheme="minorHAnsi"/>
          <w:sz w:val="22"/>
        </w:rPr>
        <w:t xml:space="preserve"> and technical replicates do</w:t>
      </w:r>
      <w:r w:rsidR="00976FAC" w:rsidRPr="00E738EF">
        <w:rPr>
          <w:rFonts w:asciiTheme="minorHAnsi" w:hAnsiTheme="minorHAnsi"/>
          <w:sz w:val="22"/>
        </w:rPr>
        <w:t xml:space="preserve"> not apply to our study as we did not collect data.</w:t>
      </w:r>
    </w:p>
    <w:p w14:paraId="37A633D1" w14:textId="1C528470" w:rsidR="008743BA" w:rsidRPr="00E738EF" w:rsidRDefault="002F5FB4" w:rsidP="002F5F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E738EF">
        <w:rPr>
          <w:rFonts w:asciiTheme="minorHAnsi" w:hAnsiTheme="minorHAnsi"/>
          <w:sz w:val="22"/>
        </w:rPr>
        <w:tab/>
      </w:r>
    </w:p>
    <w:p w14:paraId="43959D7B" w14:textId="77777777" w:rsidR="003823B5" w:rsidRDefault="004433D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Pr>
          <w:rFonts w:asciiTheme="minorHAnsi" w:hAnsiTheme="minorHAnsi"/>
          <w:sz w:val="22"/>
        </w:rPr>
        <w:t xml:space="preserve">For our model-based analysis </w:t>
      </w:r>
      <w:r w:rsidR="003823B5">
        <w:rPr>
          <w:rFonts w:asciiTheme="minorHAnsi" w:hAnsiTheme="minorHAnsi"/>
          <w:sz w:val="22"/>
        </w:rPr>
        <w:t>–</w:t>
      </w:r>
      <w:r>
        <w:rPr>
          <w:rFonts w:asciiTheme="minorHAnsi" w:hAnsiTheme="minorHAnsi"/>
          <w:sz w:val="22"/>
        </w:rPr>
        <w:t xml:space="preserve"> </w:t>
      </w:r>
    </w:p>
    <w:p w14:paraId="1DBB4909" w14:textId="637BC511" w:rsidR="00D97456" w:rsidRPr="00E738EF" w:rsidRDefault="003823B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Pr>
          <w:rFonts w:asciiTheme="minorHAnsi" w:hAnsiTheme="minorHAnsi"/>
          <w:sz w:val="22"/>
        </w:rPr>
        <w:t xml:space="preserve">1) </w:t>
      </w:r>
      <w:r w:rsidR="007C3278" w:rsidRPr="00E738EF">
        <w:rPr>
          <w:rFonts w:asciiTheme="minorHAnsi" w:hAnsiTheme="minorHAnsi"/>
          <w:sz w:val="22"/>
        </w:rPr>
        <w:t xml:space="preserve"> </w:t>
      </w:r>
      <w:r>
        <w:rPr>
          <w:rFonts w:asciiTheme="minorHAnsi" w:hAnsiTheme="minorHAnsi"/>
          <w:sz w:val="22"/>
        </w:rPr>
        <w:t xml:space="preserve">When </w:t>
      </w:r>
      <w:r w:rsidR="007C3278" w:rsidRPr="00E738EF">
        <w:rPr>
          <w:rFonts w:asciiTheme="minorHAnsi" w:hAnsiTheme="minorHAnsi"/>
          <w:sz w:val="22"/>
        </w:rPr>
        <w:t>we assessed the rate of spread, each simulation was performed in five stochastic realizations to assess the impact of model stochasticity on the output (see Methods: simulate and estimate the rate of spread of the drug-resistant genotype).</w:t>
      </w:r>
    </w:p>
    <w:p w14:paraId="08A360A1" w14:textId="77777777" w:rsidR="007C3278" w:rsidRPr="00E738EF" w:rsidRDefault="007C327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p>
    <w:p w14:paraId="6B1238DA" w14:textId="09A292DB" w:rsidR="00D97456" w:rsidRPr="00E738EF" w:rsidRDefault="003823B5" w:rsidP="00D9745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Pr>
          <w:rFonts w:asciiTheme="minorHAnsi" w:hAnsiTheme="minorHAnsi"/>
          <w:sz w:val="22"/>
        </w:rPr>
        <w:t xml:space="preserve">2) </w:t>
      </w:r>
      <w:r w:rsidR="007C3278" w:rsidRPr="00E738EF">
        <w:rPr>
          <w:rFonts w:asciiTheme="minorHAnsi" w:hAnsiTheme="minorHAnsi"/>
          <w:sz w:val="22"/>
        </w:rPr>
        <w:t>When we assessed the probability of establishment of a drug-resistant mutation, each simulation was performed in 300 stochastic realizations due to the high stochasticity of this step (see Methods: establishment of drug resistance).</w:t>
      </w:r>
    </w:p>
    <w:p w14:paraId="331EA879" w14:textId="77777777" w:rsidR="007C3278" w:rsidRPr="00E738EF" w:rsidRDefault="007C3278" w:rsidP="00D9745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p>
    <w:p w14:paraId="1C7C5F5B" w14:textId="32D5A8F7" w:rsidR="003823B5" w:rsidRDefault="003823B5" w:rsidP="00DF409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Pr>
          <w:rFonts w:asciiTheme="minorHAnsi" w:hAnsiTheme="minorHAnsi"/>
          <w:sz w:val="22"/>
        </w:rPr>
        <w:t xml:space="preserve">3) </w:t>
      </w:r>
      <w:r w:rsidR="007C3278" w:rsidRPr="00E738EF">
        <w:rPr>
          <w:rFonts w:asciiTheme="minorHAnsi" w:hAnsiTheme="minorHAnsi"/>
          <w:sz w:val="22"/>
        </w:rPr>
        <w:t xml:space="preserve">We </w:t>
      </w:r>
      <w:r w:rsidR="00B73BA7">
        <w:rPr>
          <w:rFonts w:asciiTheme="minorHAnsi" w:hAnsiTheme="minorHAnsi"/>
          <w:sz w:val="22"/>
        </w:rPr>
        <w:t>included all</w:t>
      </w:r>
      <w:r>
        <w:rPr>
          <w:rFonts w:asciiTheme="minorHAnsi" w:hAnsiTheme="minorHAnsi"/>
          <w:sz w:val="22"/>
        </w:rPr>
        <w:t xml:space="preserve"> simulation</w:t>
      </w:r>
      <w:r w:rsidR="007C3278" w:rsidRPr="00E738EF">
        <w:rPr>
          <w:rFonts w:asciiTheme="minorHAnsi" w:hAnsiTheme="minorHAnsi"/>
          <w:sz w:val="22"/>
        </w:rPr>
        <w:t xml:space="preserve"> data generated by the model </w:t>
      </w:r>
      <w:r w:rsidR="00B73BA7">
        <w:rPr>
          <w:rFonts w:asciiTheme="minorHAnsi" w:hAnsiTheme="minorHAnsi"/>
          <w:sz w:val="22"/>
        </w:rPr>
        <w:t>for each</w:t>
      </w:r>
      <w:r w:rsidR="007C3278" w:rsidRPr="00E738EF">
        <w:rPr>
          <w:rFonts w:asciiTheme="minorHAnsi" w:hAnsiTheme="minorHAnsi"/>
          <w:sz w:val="22"/>
        </w:rPr>
        <w:t xml:space="preserve"> analysis. </w:t>
      </w:r>
    </w:p>
    <w:p w14:paraId="71AF9B5B" w14:textId="77777777" w:rsidR="003823B5" w:rsidRDefault="003823B5" w:rsidP="00DF409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p>
    <w:p w14:paraId="4B9FE341" w14:textId="6A62F721" w:rsidR="00DF4098" w:rsidRPr="00DF4098" w:rsidRDefault="007C3278" w:rsidP="00DF409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lang w:val="en-GB"/>
        </w:rPr>
      </w:pPr>
      <w:r w:rsidRPr="00E738EF">
        <w:rPr>
          <w:rFonts w:asciiTheme="minorHAnsi" w:hAnsiTheme="minorHAnsi"/>
          <w:sz w:val="22"/>
        </w:rPr>
        <w:t>We did not observe outliers and did not use High-throughput sequence data.</w:t>
      </w:r>
      <w:r w:rsidR="00DF4098" w:rsidRPr="00DF4098">
        <w:rPr>
          <w:lang w:val="en-GB"/>
        </w:rPr>
        <w:t xml:space="preserve"> </w:t>
      </w:r>
    </w:p>
    <w:p w14:paraId="49ABD2F4" w14:textId="20B8A21B" w:rsidR="00A264E4" w:rsidRPr="00DF4098" w:rsidRDefault="00A264E4" w:rsidP="00D9745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lang w:val="en-GB"/>
        </w:rPr>
      </w:pP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CBD46BE" w14:textId="57C60573" w:rsidR="00BB6C85" w:rsidRDefault="00B61594" w:rsidP="00B6159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0E101A"/>
          <w:sz w:val="22"/>
          <w:szCs w:val="22"/>
          <w:lang w:eastAsia="de-CH"/>
        </w:rPr>
      </w:pPr>
      <w:r w:rsidRPr="00B61594">
        <w:rPr>
          <w:rFonts w:asciiTheme="minorHAnsi" w:eastAsia="Times New Roman" w:hAnsiTheme="minorHAnsi" w:cstheme="minorHAnsi"/>
          <w:color w:val="0E101A"/>
          <w:sz w:val="22"/>
          <w:szCs w:val="22"/>
          <w:lang w:eastAsia="de-CH"/>
        </w:rPr>
        <w:lastRenderedPageBreak/>
        <w:t>We developed an emulator- and disease model-based approach to systematically quantify the influence of multiple factors on the establishment and spread of drug-resistant parasites</w:t>
      </w:r>
      <w:r w:rsidR="00BB6C85">
        <w:rPr>
          <w:rFonts w:asciiTheme="minorHAnsi" w:eastAsia="Times New Roman" w:hAnsiTheme="minorHAnsi" w:cstheme="minorHAnsi"/>
          <w:color w:val="0E101A"/>
          <w:sz w:val="22"/>
          <w:szCs w:val="22"/>
          <w:lang w:eastAsia="de-CH"/>
        </w:rPr>
        <w:t>. In essence we undertook a</w:t>
      </w:r>
      <w:r w:rsidRPr="00B61594">
        <w:rPr>
          <w:rFonts w:asciiTheme="minorHAnsi" w:eastAsia="Times New Roman" w:hAnsiTheme="minorHAnsi" w:cstheme="minorHAnsi"/>
          <w:color w:val="0E101A"/>
          <w:sz w:val="22"/>
          <w:szCs w:val="22"/>
          <w:lang w:eastAsia="de-CH"/>
        </w:rPr>
        <w:t xml:space="preserve"> global sensitivity analysis</w:t>
      </w:r>
      <w:r w:rsidR="00BB6C85">
        <w:rPr>
          <w:rFonts w:asciiTheme="minorHAnsi" w:eastAsia="Times New Roman" w:hAnsiTheme="minorHAnsi" w:cstheme="minorHAnsi"/>
          <w:color w:val="0E101A"/>
          <w:sz w:val="22"/>
          <w:szCs w:val="22"/>
          <w:lang w:eastAsia="de-CH"/>
        </w:rPr>
        <w:t xml:space="preserve"> with an emulator of our computational expensive individual based model of malaria</w:t>
      </w:r>
      <w:r w:rsidRPr="00B61594">
        <w:rPr>
          <w:rFonts w:asciiTheme="minorHAnsi" w:eastAsia="Times New Roman" w:hAnsiTheme="minorHAnsi" w:cstheme="minorHAnsi"/>
          <w:color w:val="0E101A"/>
          <w:sz w:val="22"/>
          <w:szCs w:val="22"/>
          <w:lang w:eastAsia="de-CH"/>
        </w:rPr>
        <w:t>. The step</w:t>
      </w:r>
      <w:r w:rsidR="001B08B9">
        <w:rPr>
          <w:rFonts w:asciiTheme="minorHAnsi" w:eastAsia="Times New Roman" w:hAnsiTheme="minorHAnsi" w:cstheme="minorHAnsi"/>
          <w:color w:val="0E101A"/>
          <w:sz w:val="22"/>
          <w:szCs w:val="22"/>
          <w:lang w:eastAsia="de-CH"/>
        </w:rPr>
        <w:t>s</w:t>
      </w:r>
      <w:r w:rsidRPr="00B61594">
        <w:rPr>
          <w:rFonts w:asciiTheme="minorHAnsi" w:eastAsia="Times New Roman" w:hAnsiTheme="minorHAnsi" w:cstheme="minorHAnsi"/>
          <w:color w:val="0E101A"/>
          <w:sz w:val="22"/>
          <w:szCs w:val="22"/>
          <w:lang w:eastAsia="de-CH"/>
        </w:rPr>
        <w:t xml:space="preserve"> of </w:t>
      </w:r>
      <w:r w:rsidR="00BB6C85">
        <w:rPr>
          <w:rFonts w:asciiTheme="minorHAnsi" w:eastAsia="Times New Roman" w:hAnsiTheme="minorHAnsi" w:cstheme="minorHAnsi"/>
          <w:color w:val="0E101A"/>
          <w:sz w:val="22"/>
          <w:szCs w:val="22"/>
          <w:lang w:eastAsia="de-CH"/>
        </w:rPr>
        <w:t>our</w:t>
      </w:r>
      <w:r w:rsidRPr="00B61594">
        <w:rPr>
          <w:rFonts w:asciiTheme="minorHAnsi" w:eastAsia="Times New Roman" w:hAnsiTheme="minorHAnsi" w:cstheme="minorHAnsi"/>
          <w:color w:val="0E101A"/>
          <w:sz w:val="22"/>
          <w:szCs w:val="22"/>
          <w:lang w:eastAsia="de-CH"/>
        </w:rPr>
        <w:t xml:space="preserve"> analysis </w:t>
      </w:r>
      <w:r w:rsidR="001B08B9">
        <w:rPr>
          <w:rFonts w:asciiTheme="minorHAnsi" w:eastAsia="Times New Roman" w:hAnsiTheme="minorHAnsi" w:cstheme="minorHAnsi"/>
          <w:color w:val="0E101A"/>
          <w:sz w:val="22"/>
          <w:szCs w:val="22"/>
          <w:lang w:eastAsia="de-CH"/>
        </w:rPr>
        <w:t>are</w:t>
      </w:r>
      <w:r w:rsidRPr="00B61594">
        <w:rPr>
          <w:rFonts w:asciiTheme="minorHAnsi" w:eastAsia="Times New Roman" w:hAnsiTheme="minorHAnsi" w:cstheme="minorHAnsi"/>
          <w:color w:val="0E101A"/>
          <w:sz w:val="22"/>
          <w:szCs w:val="22"/>
          <w:lang w:eastAsia="de-CH"/>
        </w:rPr>
        <w:t xml:space="preserve"> detailed in the Methods</w:t>
      </w:r>
      <w:r w:rsidR="00BB6C85">
        <w:rPr>
          <w:rFonts w:asciiTheme="minorHAnsi" w:eastAsia="Times New Roman" w:hAnsiTheme="minorHAnsi" w:cstheme="minorHAnsi"/>
          <w:color w:val="0E101A"/>
          <w:sz w:val="22"/>
          <w:szCs w:val="22"/>
          <w:lang w:eastAsia="de-CH"/>
        </w:rPr>
        <w:t xml:space="preserve"> of our paper</w:t>
      </w:r>
      <w:r w:rsidRPr="00B61594">
        <w:rPr>
          <w:rFonts w:asciiTheme="minorHAnsi" w:eastAsia="Times New Roman" w:hAnsiTheme="minorHAnsi" w:cstheme="minorHAnsi"/>
          <w:color w:val="0E101A"/>
          <w:sz w:val="22"/>
          <w:szCs w:val="22"/>
          <w:lang w:eastAsia="de-CH"/>
        </w:rPr>
        <w:t xml:space="preserve">. </w:t>
      </w:r>
    </w:p>
    <w:p w14:paraId="4A896EFE" w14:textId="714CFDD1" w:rsidR="00B61594" w:rsidRPr="00B61594" w:rsidRDefault="00B61594" w:rsidP="00B6159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0E101A"/>
          <w:sz w:val="22"/>
          <w:szCs w:val="22"/>
          <w:lang w:eastAsia="de-CH"/>
        </w:rPr>
      </w:pPr>
      <w:r w:rsidRPr="00B61594">
        <w:rPr>
          <w:rFonts w:asciiTheme="minorHAnsi" w:eastAsia="Times New Roman" w:hAnsiTheme="minorHAnsi" w:cstheme="minorHAnsi"/>
          <w:color w:val="0E101A"/>
          <w:sz w:val="22"/>
          <w:szCs w:val="22"/>
          <w:lang w:eastAsia="de-CH"/>
        </w:rPr>
        <w:t xml:space="preserve">In summary, we performed each global sensitivity analysis on an emulator trained on </w:t>
      </w:r>
      <w:proofErr w:type="gramStart"/>
      <w:r w:rsidR="00BB6C85">
        <w:rPr>
          <w:rFonts w:asciiTheme="minorHAnsi" w:eastAsia="Times New Roman" w:hAnsiTheme="minorHAnsi" w:cstheme="minorHAnsi"/>
          <w:color w:val="0E101A"/>
          <w:sz w:val="22"/>
          <w:szCs w:val="22"/>
          <w:lang w:eastAsia="de-CH"/>
        </w:rPr>
        <w:t>a large number of</w:t>
      </w:r>
      <w:proofErr w:type="gramEnd"/>
      <w:r w:rsidR="00BB6C85">
        <w:rPr>
          <w:rFonts w:asciiTheme="minorHAnsi" w:eastAsia="Times New Roman" w:hAnsiTheme="minorHAnsi" w:cstheme="minorHAnsi"/>
          <w:color w:val="0E101A"/>
          <w:sz w:val="22"/>
          <w:szCs w:val="22"/>
          <w:lang w:eastAsia="de-CH"/>
        </w:rPr>
        <w:t xml:space="preserve"> model </w:t>
      </w:r>
      <w:r w:rsidRPr="00B61594">
        <w:rPr>
          <w:rFonts w:asciiTheme="minorHAnsi" w:eastAsia="Times New Roman" w:hAnsiTheme="minorHAnsi" w:cstheme="minorHAnsi"/>
          <w:color w:val="0E101A"/>
          <w:sz w:val="22"/>
          <w:szCs w:val="22"/>
          <w:lang w:eastAsia="de-CH"/>
        </w:rPr>
        <w:t>simulation</w:t>
      </w:r>
      <w:r w:rsidR="001B08B9">
        <w:rPr>
          <w:rFonts w:asciiTheme="minorHAnsi" w:eastAsia="Times New Roman" w:hAnsiTheme="minorHAnsi" w:cstheme="minorHAnsi"/>
          <w:color w:val="0E101A"/>
          <w:sz w:val="22"/>
          <w:szCs w:val="22"/>
          <w:lang w:eastAsia="de-CH"/>
        </w:rPr>
        <w:t>s</w:t>
      </w:r>
      <w:r w:rsidRPr="00B61594">
        <w:rPr>
          <w:rFonts w:asciiTheme="minorHAnsi" w:eastAsia="Times New Roman" w:hAnsiTheme="minorHAnsi" w:cstheme="minorHAnsi"/>
          <w:color w:val="0E101A"/>
          <w:sz w:val="22"/>
          <w:szCs w:val="22"/>
          <w:lang w:eastAsia="de-CH"/>
        </w:rPr>
        <w:t>. We assessed the f</w:t>
      </w:r>
      <w:r>
        <w:rPr>
          <w:rFonts w:asciiTheme="minorHAnsi" w:eastAsia="Times New Roman" w:hAnsiTheme="minorHAnsi" w:cstheme="minorHAnsi"/>
          <w:color w:val="0E101A"/>
          <w:sz w:val="22"/>
          <w:szCs w:val="22"/>
          <w:lang w:eastAsia="de-CH"/>
        </w:rPr>
        <w:t xml:space="preserve">it of the emulator as follows: </w:t>
      </w:r>
      <w:r w:rsidRPr="00B61594">
        <w:rPr>
          <w:rFonts w:asciiTheme="minorHAnsi" w:eastAsia="Times New Roman" w:hAnsiTheme="minorHAnsi" w:cstheme="minorHAnsi"/>
          <w:color w:val="0E101A"/>
          <w:sz w:val="22"/>
          <w:szCs w:val="22"/>
          <w:lang w:eastAsia="de-CH"/>
        </w:rPr>
        <w:t xml:space="preserve">For each global sensitivity analysis, we simulated a range of </w:t>
      </w:r>
      <w:r w:rsidR="00BB6C85">
        <w:rPr>
          <w:rFonts w:asciiTheme="minorHAnsi" w:eastAsia="Times New Roman" w:hAnsiTheme="minorHAnsi" w:cstheme="minorHAnsi"/>
          <w:color w:val="0E101A"/>
          <w:sz w:val="22"/>
          <w:szCs w:val="22"/>
          <w:lang w:eastAsia="de-CH"/>
        </w:rPr>
        <w:t xml:space="preserve">between </w:t>
      </w:r>
      <w:r w:rsidRPr="00B61594">
        <w:rPr>
          <w:rFonts w:asciiTheme="minorHAnsi" w:eastAsia="Times New Roman" w:hAnsiTheme="minorHAnsi" w:cstheme="minorHAnsi"/>
          <w:color w:val="0E101A"/>
          <w:sz w:val="22"/>
          <w:szCs w:val="22"/>
          <w:lang w:eastAsia="de-CH"/>
        </w:rPr>
        <w:t xml:space="preserve">700 to 2300 parameter combinations </w:t>
      </w:r>
      <w:r w:rsidR="00BB6C85">
        <w:rPr>
          <w:rFonts w:asciiTheme="minorHAnsi" w:eastAsia="Times New Roman" w:hAnsiTheme="minorHAnsi" w:cstheme="minorHAnsi"/>
          <w:color w:val="0E101A"/>
          <w:sz w:val="22"/>
          <w:szCs w:val="22"/>
          <w:lang w:eastAsia="de-CH"/>
        </w:rPr>
        <w:t>with</w:t>
      </w:r>
      <w:r w:rsidRPr="00B61594">
        <w:rPr>
          <w:rFonts w:asciiTheme="minorHAnsi" w:eastAsia="Times New Roman" w:hAnsiTheme="minorHAnsi" w:cstheme="minorHAnsi"/>
          <w:color w:val="0E101A"/>
          <w:sz w:val="22"/>
          <w:szCs w:val="22"/>
          <w:lang w:eastAsia="de-CH"/>
        </w:rPr>
        <w:t xml:space="preserve"> five stochastic </w:t>
      </w:r>
      <w:r w:rsidR="00BB6C85" w:rsidRPr="00B61594">
        <w:rPr>
          <w:rFonts w:asciiTheme="minorHAnsi" w:eastAsia="Times New Roman" w:hAnsiTheme="minorHAnsi" w:cstheme="minorHAnsi"/>
          <w:color w:val="0E101A"/>
          <w:sz w:val="22"/>
          <w:szCs w:val="22"/>
          <w:lang w:eastAsia="de-CH"/>
        </w:rPr>
        <w:t>realizations</w:t>
      </w:r>
      <w:r w:rsidRPr="00B61594">
        <w:rPr>
          <w:rFonts w:asciiTheme="minorHAnsi" w:eastAsia="Times New Roman" w:hAnsiTheme="minorHAnsi" w:cstheme="minorHAnsi"/>
          <w:color w:val="0E101A"/>
          <w:sz w:val="22"/>
          <w:szCs w:val="22"/>
          <w:lang w:eastAsia="de-CH"/>
        </w:rPr>
        <w:t xml:space="preserve"> (</w:t>
      </w:r>
      <w:r w:rsidR="00BB6C85">
        <w:rPr>
          <w:rFonts w:asciiTheme="minorHAnsi" w:eastAsia="Times New Roman" w:hAnsiTheme="minorHAnsi" w:cstheme="minorHAnsi"/>
          <w:color w:val="0E101A"/>
          <w:sz w:val="22"/>
          <w:szCs w:val="22"/>
          <w:lang w:eastAsia="de-CH"/>
        </w:rPr>
        <w:t>thus a total of 3500 to 11,500 simulations for each analysis – and the</w:t>
      </w:r>
      <w:r w:rsidRPr="00B61594">
        <w:rPr>
          <w:rFonts w:asciiTheme="minorHAnsi" w:eastAsia="Times New Roman" w:hAnsiTheme="minorHAnsi" w:cstheme="minorHAnsi"/>
          <w:color w:val="0E101A"/>
          <w:sz w:val="22"/>
          <w:szCs w:val="22"/>
          <w:lang w:eastAsia="de-CH"/>
        </w:rPr>
        <w:t xml:space="preserve"> number varied depending on the number of simulations needed to reach a satisfactory fit of the emulator). The emulator was fitted using a training dataset containing 80% of simulations. The remaining simulations (20%) were kept </w:t>
      </w:r>
      <w:r w:rsidR="003823B5" w:rsidRPr="00B61594">
        <w:rPr>
          <w:rFonts w:asciiTheme="minorHAnsi" w:eastAsia="Times New Roman" w:hAnsiTheme="minorHAnsi" w:cstheme="minorHAnsi"/>
          <w:color w:val="0E101A"/>
          <w:sz w:val="22"/>
          <w:szCs w:val="22"/>
          <w:lang w:eastAsia="de-CH"/>
        </w:rPr>
        <w:t>performing</w:t>
      </w:r>
      <w:r w:rsidRPr="00B61594">
        <w:rPr>
          <w:rFonts w:asciiTheme="minorHAnsi" w:eastAsia="Times New Roman" w:hAnsiTheme="minorHAnsi" w:cstheme="minorHAnsi"/>
          <w:color w:val="0E101A"/>
          <w:sz w:val="22"/>
          <w:szCs w:val="22"/>
          <w:lang w:eastAsia="de-CH"/>
        </w:rPr>
        <w:t xml:space="preserve"> an out-of-sample comparison analysis. In this analysis, we assessed the accuracy </w:t>
      </w:r>
      <w:r w:rsidR="001B08B9">
        <w:rPr>
          <w:rFonts w:asciiTheme="minorHAnsi" w:eastAsia="Times New Roman" w:hAnsiTheme="minorHAnsi" w:cstheme="minorHAnsi"/>
          <w:color w:val="0E101A"/>
          <w:sz w:val="22"/>
          <w:szCs w:val="22"/>
          <w:lang w:eastAsia="de-CH"/>
        </w:rPr>
        <w:t xml:space="preserve">of the </w:t>
      </w:r>
      <w:r w:rsidRPr="00B61594">
        <w:rPr>
          <w:rFonts w:asciiTheme="minorHAnsi" w:eastAsia="Times New Roman" w:hAnsiTheme="minorHAnsi" w:cstheme="minorHAnsi"/>
          <w:color w:val="0E101A"/>
          <w:sz w:val="22"/>
          <w:szCs w:val="22"/>
          <w:lang w:eastAsia="de-CH"/>
        </w:rPr>
        <w:t>emulator by estimating the correlation coefficient, and the root means squared error between the selection coefficients predicted with the emulator and the expected selection coefficients (estimated with our model) (see Methods: train the emulator and improve its accuracy).</w:t>
      </w:r>
    </w:p>
    <w:p w14:paraId="1573E06A" w14:textId="77777777" w:rsidR="00B61594" w:rsidRPr="00B61594" w:rsidRDefault="00B61594" w:rsidP="00B6159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0E101A"/>
          <w:sz w:val="22"/>
          <w:szCs w:val="22"/>
          <w:lang w:eastAsia="de-CH"/>
        </w:rPr>
      </w:pPr>
      <w:r w:rsidRPr="00B61594">
        <w:rPr>
          <w:rFonts w:asciiTheme="minorHAnsi" w:eastAsia="Times New Roman" w:hAnsiTheme="minorHAnsi" w:cstheme="minorHAnsi"/>
          <w:color w:val="0E101A"/>
          <w:sz w:val="22"/>
          <w:szCs w:val="22"/>
          <w:lang w:eastAsia="de-CH"/>
        </w:rPr>
        <w:tab/>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A316ABF" w:rsidR="00BC3CCE" w:rsidRPr="00505C51" w:rsidRDefault="007C327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C3278">
        <w:rPr>
          <w:rFonts w:asciiTheme="minorHAnsi" w:hAnsiTheme="minorHAnsi"/>
          <w:sz w:val="22"/>
          <w:szCs w:val="22"/>
        </w:rPr>
        <w:t xml:space="preserve">This section does not apply to our study, as we did not collect data </w:t>
      </w:r>
      <w:r w:rsidR="004433D1">
        <w:rPr>
          <w:rFonts w:asciiTheme="minorHAnsi" w:hAnsiTheme="minorHAnsi"/>
          <w:sz w:val="22"/>
          <w:szCs w:val="22"/>
        </w:rPr>
        <w:t>nor</w:t>
      </w:r>
      <w:r w:rsidRPr="007C3278">
        <w:rPr>
          <w:rFonts w:asciiTheme="minorHAnsi" w:hAnsiTheme="minorHAnsi"/>
          <w:sz w:val="22"/>
          <w:szCs w:val="22"/>
        </w:rPr>
        <w:t xml:space="preserve"> allocate samples into experimental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78BE5E4" w14:textId="77777777" w:rsidR="003823B5" w:rsidRDefault="006564AD" w:rsidP="007D7A9C">
      <w:pPr>
        <w:pStyle w:val="HTMLPreformatted"/>
        <w:framePr w:w="7817" w:h="1088" w:hSpace="180" w:wrap="around" w:vAnchor="text" w:hAnchor="page" w:x="1904" w:y="1"/>
        <w:pBdr>
          <w:top w:val="single" w:sz="6" w:space="1" w:color="auto"/>
          <w:left w:val="single" w:sz="6" w:space="1" w:color="auto"/>
          <w:bottom w:val="single" w:sz="6" w:space="1" w:color="auto"/>
          <w:right w:val="single" w:sz="6" w:space="1" w:color="auto"/>
        </w:pBdr>
        <w:outlineLvl w:val="4"/>
        <w:rPr>
          <w:rFonts w:asciiTheme="minorHAnsi" w:hAnsiTheme="minorHAnsi" w:cstheme="minorHAnsi"/>
          <w:sz w:val="22"/>
          <w:szCs w:val="22"/>
          <w:lang w:val="en-US"/>
        </w:rPr>
      </w:pPr>
      <w:r w:rsidRPr="007D7A9C">
        <w:rPr>
          <w:rFonts w:asciiTheme="minorHAnsi" w:hAnsiTheme="minorHAnsi" w:cstheme="minorHAnsi"/>
          <w:sz w:val="22"/>
          <w:szCs w:val="22"/>
          <w:lang w:val="en-US"/>
        </w:rPr>
        <w:lastRenderedPageBreak/>
        <w:t>All data and code</w:t>
      </w:r>
      <w:r w:rsidR="004433D1">
        <w:rPr>
          <w:rFonts w:asciiTheme="minorHAnsi" w:hAnsiTheme="minorHAnsi" w:cstheme="minorHAnsi"/>
          <w:sz w:val="22"/>
          <w:szCs w:val="22"/>
          <w:lang w:val="en-US"/>
        </w:rPr>
        <w:t xml:space="preserve"> </w:t>
      </w:r>
      <w:r w:rsidRPr="007D7A9C">
        <w:rPr>
          <w:rFonts w:asciiTheme="minorHAnsi" w:hAnsiTheme="minorHAnsi" w:cstheme="minorHAnsi"/>
          <w:sz w:val="22"/>
          <w:szCs w:val="22"/>
          <w:lang w:val="en-US"/>
        </w:rPr>
        <w:t xml:space="preserve">used to produce the figures are available at </w:t>
      </w:r>
      <w:r w:rsidR="007D7A9C" w:rsidRPr="007D7A9C">
        <w:rPr>
          <w:rFonts w:asciiTheme="minorHAnsi" w:hAnsiTheme="minorHAnsi" w:cstheme="minorHAnsi"/>
          <w:sz w:val="22"/>
          <w:lang w:val="en-US"/>
        </w:rPr>
        <w:t>https://zenodo.org/badge/latestdoi/458226427</w:t>
      </w:r>
      <w:r w:rsidRPr="007D7A9C">
        <w:rPr>
          <w:rFonts w:asciiTheme="minorHAnsi" w:hAnsiTheme="minorHAnsi" w:cstheme="minorHAnsi"/>
          <w:sz w:val="22"/>
          <w:szCs w:val="22"/>
          <w:lang w:val="en-US"/>
        </w:rPr>
        <w:t xml:space="preserve">. </w:t>
      </w:r>
    </w:p>
    <w:p w14:paraId="212E872C" w14:textId="77777777" w:rsidR="003823B5" w:rsidRDefault="003823B5" w:rsidP="007D7A9C">
      <w:pPr>
        <w:pStyle w:val="HTMLPreformatted"/>
        <w:framePr w:w="7817" w:h="1088" w:hSpace="180" w:wrap="around" w:vAnchor="text" w:hAnchor="page" w:x="1904" w:y="1"/>
        <w:pBdr>
          <w:top w:val="single" w:sz="6" w:space="1" w:color="auto"/>
          <w:left w:val="single" w:sz="6" w:space="1" w:color="auto"/>
          <w:bottom w:val="single" w:sz="6" w:space="1" w:color="auto"/>
          <w:right w:val="single" w:sz="6" w:space="1" w:color="auto"/>
        </w:pBdr>
        <w:outlineLvl w:val="4"/>
        <w:rPr>
          <w:rFonts w:asciiTheme="minorHAnsi" w:hAnsiTheme="minorHAnsi" w:cstheme="minorHAnsi"/>
          <w:sz w:val="22"/>
          <w:szCs w:val="22"/>
          <w:lang w:val="en-US"/>
        </w:rPr>
      </w:pPr>
    </w:p>
    <w:p w14:paraId="4E73FBAE" w14:textId="3CFF1752" w:rsidR="003823B5" w:rsidRDefault="006564AD" w:rsidP="007D7A9C">
      <w:pPr>
        <w:pStyle w:val="HTMLPreformatted"/>
        <w:framePr w:w="7817" w:h="1088" w:hSpace="180" w:wrap="around" w:vAnchor="text" w:hAnchor="page" w:x="1904" w:y="1"/>
        <w:pBdr>
          <w:top w:val="single" w:sz="6" w:space="1" w:color="auto"/>
          <w:left w:val="single" w:sz="6" w:space="1" w:color="auto"/>
          <w:bottom w:val="single" w:sz="6" w:space="1" w:color="auto"/>
          <w:right w:val="single" w:sz="6" w:space="1" w:color="auto"/>
        </w:pBdr>
        <w:outlineLvl w:val="4"/>
        <w:rPr>
          <w:rFonts w:asciiTheme="minorHAnsi" w:hAnsiTheme="minorHAnsi" w:cstheme="minorHAnsi"/>
          <w:sz w:val="22"/>
          <w:szCs w:val="22"/>
          <w:lang w:val="en-US"/>
        </w:rPr>
      </w:pPr>
      <w:r w:rsidRPr="007D7A9C">
        <w:rPr>
          <w:rFonts w:asciiTheme="minorHAnsi" w:hAnsiTheme="minorHAnsi" w:cstheme="minorHAnsi"/>
          <w:sz w:val="22"/>
          <w:szCs w:val="22"/>
          <w:lang w:val="en-US"/>
        </w:rPr>
        <w:t xml:space="preserve">In addition, the code used to run the simulations and perform the analyses can be found at </w:t>
      </w:r>
      <w:r w:rsidR="007D7A9C" w:rsidRPr="007D7A9C">
        <w:rPr>
          <w:rFonts w:asciiTheme="minorHAnsi" w:hAnsiTheme="minorHAnsi" w:cstheme="minorHAnsi"/>
          <w:bCs/>
          <w:sz w:val="22"/>
          <w:lang w:val="en-US"/>
        </w:rPr>
        <w:t>https://zenodo.org/badge/latestdoi/458217287</w:t>
      </w:r>
      <w:r w:rsidRPr="007D7A9C">
        <w:rPr>
          <w:rFonts w:asciiTheme="minorHAnsi" w:hAnsiTheme="minorHAnsi" w:cstheme="minorHAnsi"/>
          <w:sz w:val="22"/>
          <w:szCs w:val="22"/>
          <w:lang w:val="en-US"/>
        </w:rPr>
        <w:t xml:space="preserve">. </w:t>
      </w:r>
    </w:p>
    <w:p w14:paraId="3EF0A2B0" w14:textId="77777777" w:rsidR="003823B5" w:rsidRDefault="003823B5" w:rsidP="007D7A9C">
      <w:pPr>
        <w:pStyle w:val="HTMLPreformatted"/>
        <w:framePr w:w="7817" w:h="1088" w:hSpace="180" w:wrap="around" w:vAnchor="text" w:hAnchor="page" w:x="1904" w:y="1"/>
        <w:pBdr>
          <w:top w:val="single" w:sz="6" w:space="1" w:color="auto"/>
          <w:left w:val="single" w:sz="6" w:space="1" w:color="auto"/>
          <w:bottom w:val="single" w:sz="6" w:space="1" w:color="auto"/>
          <w:right w:val="single" w:sz="6" w:space="1" w:color="auto"/>
        </w:pBdr>
        <w:outlineLvl w:val="4"/>
        <w:rPr>
          <w:rFonts w:asciiTheme="minorHAnsi" w:hAnsiTheme="minorHAnsi" w:cstheme="minorHAnsi"/>
          <w:sz w:val="22"/>
          <w:szCs w:val="22"/>
          <w:lang w:val="en-US"/>
        </w:rPr>
      </w:pPr>
    </w:p>
    <w:p w14:paraId="5162D15A" w14:textId="528B23FE" w:rsidR="006564AD" w:rsidRPr="007D7A9C" w:rsidRDefault="006564AD" w:rsidP="007D7A9C">
      <w:pPr>
        <w:pStyle w:val="HTMLPreformatted"/>
        <w:framePr w:w="7817" w:h="1088" w:hSpace="180" w:wrap="around" w:vAnchor="text" w:hAnchor="page" w:x="1904" w:y="1"/>
        <w:pBdr>
          <w:top w:val="single" w:sz="6" w:space="1" w:color="auto"/>
          <w:left w:val="single" w:sz="6" w:space="1" w:color="auto"/>
          <w:bottom w:val="single" w:sz="6" w:space="1" w:color="auto"/>
          <w:right w:val="single" w:sz="6" w:space="1" w:color="auto"/>
        </w:pBdr>
        <w:outlineLvl w:val="4"/>
        <w:rPr>
          <w:b/>
          <w:bCs/>
          <w:lang w:val="en-US"/>
        </w:rPr>
      </w:pPr>
      <w:r w:rsidRPr="007D7A9C">
        <w:rPr>
          <w:rFonts w:asciiTheme="minorHAnsi" w:hAnsiTheme="minorHAnsi" w:cstheme="minorHAnsi"/>
          <w:sz w:val="22"/>
          <w:szCs w:val="22"/>
          <w:lang w:val="en-US"/>
        </w:rPr>
        <w:t>The individual-based model of malaria transmission and epidemiology used in the study has an open-access code (https://github.com/SwissTPH/openmalaria) and documentation (https://github.com/SwissTPH/openmalaria/wiki).</w:t>
      </w:r>
    </w:p>
    <w:p w14:paraId="462B8EC9" w14:textId="20659894" w:rsidR="00935E87" w:rsidRPr="00E738EF" w:rsidRDefault="00935E87" w:rsidP="00935E87">
      <w:pPr>
        <w:pStyle w:val="NormalWeb"/>
        <w:framePr w:w="7817" w:h="1088" w:hSpace="180" w:wrap="around" w:vAnchor="text" w:hAnchor="page" w:x="1904" w:y="1"/>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cstheme="minorHAnsi"/>
          <w:color w:val="0E101A"/>
          <w:sz w:val="22"/>
          <w:szCs w:val="22"/>
          <w:lang w:val="en-US"/>
        </w:rPr>
      </w:pPr>
    </w:p>
    <w:p w14:paraId="438A6B2E" w14:textId="77E896AE" w:rsidR="00935E87" w:rsidRPr="00E738EF" w:rsidRDefault="00E738E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E738EF">
        <w:rPr>
          <w:rFonts w:asciiTheme="minorHAnsi" w:hAnsiTheme="minorHAnsi" w:cstheme="minorHAnsi"/>
          <w:sz w:val="22"/>
          <w:szCs w:val="22"/>
        </w:rPr>
        <w:t>Note that we did not provide the data and codes used to produce Figure 1, Figure 3–figure supplement</w:t>
      </w:r>
      <w:r w:rsidRPr="00E738EF">
        <w:rPr>
          <w:rStyle w:val="Strong"/>
          <w:rFonts w:asciiTheme="minorHAnsi" w:hAnsiTheme="minorHAnsi" w:cstheme="minorHAnsi"/>
          <w:color w:val="0E101A"/>
          <w:sz w:val="22"/>
          <w:szCs w:val="22"/>
        </w:rPr>
        <w:t> </w:t>
      </w:r>
      <w:r w:rsidRPr="00E738EF">
        <w:rPr>
          <w:rFonts w:asciiTheme="minorHAnsi" w:hAnsiTheme="minorHAnsi" w:cstheme="minorHAnsi"/>
          <w:sz w:val="22"/>
          <w:szCs w:val="22"/>
        </w:rPr>
        <w:t>6,</w:t>
      </w:r>
      <w:r w:rsidRPr="00E738EF">
        <w:rPr>
          <w:rStyle w:val="Strong"/>
          <w:rFonts w:asciiTheme="minorHAnsi" w:hAnsiTheme="minorHAnsi" w:cstheme="minorHAnsi"/>
          <w:color w:val="0E101A"/>
          <w:sz w:val="22"/>
          <w:szCs w:val="22"/>
        </w:rPr>
        <w:t> </w:t>
      </w:r>
      <w:r w:rsidRPr="00E738EF">
        <w:rPr>
          <w:rFonts w:asciiTheme="minorHAnsi" w:hAnsiTheme="minorHAnsi" w:cstheme="minorHAnsi"/>
          <w:sz w:val="22"/>
          <w:szCs w:val="22"/>
        </w:rPr>
        <w:t>Supplementary file 1</w:t>
      </w:r>
      <w:r w:rsidRPr="00E738EF">
        <w:rPr>
          <w:rStyle w:val="Emphasis"/>
          <w:rFonts w:asciiTheme="minorHAnsi" w:hAnsiTheme="minorHAnsi" w:cstheme="minorHAnsi"/>
          <w:b/>
          <w:bCs/>
          <w:color w:val="0E101A"/>
          <w:sz w:val="22"/>
          <w:szCs w:val="22"/>
        </w:rPr>
        <w:t>–</w:t>
      </w:r>
      <w:r w:rsidRPr="00E738EF">
        <w:rPr>
          <w:rFonts w:asciiTheme="minorHAnsi" w:hAnsiTheme="minorHAnsi" w:cstheme="minorHAnsi"/>
          <w:sz w:val="22"/>
          <w:szCs w:val="22"/>
        </w:rPr>
        <w:t>figure 2, Supplementary file 1–figure 4, and Supplementary file 1</w:t>
      </w:r>
      <w:r w:rsidRPr="00E738EF">
        <w:rPr>
          <w:rStyle w:val="Emphasis"/>
          <w:rFonts w:asciiTheme="minorHAnsi" w:hAnsiTheme="minorHAnsi" w:cstheme="minorHAnsi"/>
          <w:b/>
          <w:bCs/>
          <w:color w:val="0E101A"/>
          <w:sz w:val="22"/>
          <w:szCs w:val="22"/>
        </w:rPr>
        <w:t>–</w:t>
      </w:r>
      <w:r w:rsidRPr="00E738EF">
        <w:rPr>
          <w:rFonts w:asciiTheme="minorHAnsi" w:hAnsiTheme="minorHAnsi" w:cstheme="minorHAnsi"/>
          <w:sz w:val="22"/>
          <w:szCs w:val="22"/>
        </w:rPr>
        <w:t xml:space="preserve">figure 13 because these figures were illustrations and not </w:t>
      </w:r>
      <w:r w:rsidR="004433D1">
        <w:rPr>
          <w:rFonts w:asciiTheme="minorHAnsi" w:hAnsiTheme="minorHAnsi" w:cstheme="minorHAnsi"/>
          <w:sz w:val="22"/>
          <w:szCs w:val="22"/>
        </w:rPr>
        <w:t xml:space="preserve">plots of simulation </w:t>
      </w:r>
      <w:r w:rsidRPr="00E738EF">
        <w:rPr>
          <w:rFonts w:asciiTheme="minorHAnsi" w:hAnsiTheme="minorHAnsi" w:cstheme="minorHAnsi"/>
          <w:sz w:val="22"/>
          <w:szCs w:val="22"/>
        </w:rPr>
        <w:t>results.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7D20" w14:textId="77777777" w:rsidR="00A829A2" w:rsidRDefault="00A829A2" w:rsidP="004215FE">
      <w:r>
        <w:separator/>
      </w:r>
    </w:p>
  </w:endnote>
  <w:endnote w:type="continuationSeparator" w:id="0">
    <w:p w14:paraId="004F9683" w14:textId="77777777" w:rsidR="00A829A2" w:rsidRDefault="00A829A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123B0755"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CD6CD1">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5AF8" w14:textId="77777777" w:rsidR="00A829A2" w:rsidRDefault="00A829A2" w:rsidP="004215FE">
      <w:r>
        <w:separator/>
      </w:r>
    </w:p>
  </w:footnote>
  <w:footnote w:type="continuationSeparator" w:id="0">
    <w:p w14:paraId="625ECB63" w14:textId="77777777" w:rsidR="00A829A2" w:rsidRDefault="00A829A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lang w:val="de-CH" w:eastAsia="de-CH"/>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B08B9"/>
    <w:rsid w:val="001E1D59"/>
    <w:rsid w:val="00212F30"/>
    <w:rsid w:val="00217B9E"/>
    <w:rsid w:val="002336C6"/>
    <w:rsid w:val="00241081"/>
    <w:rsid w:val="002417C5"/>
    <w:rsid w:val="00266462"/>
    <w:rsid w:val="002A068D"/>
    <w:rsid w:val="002A0ED1"/>
    <w:rsid w:val="002A7487"/>
    <w:rsid w:val="002E582A"/>
    <w:rsid w:val="002F5FB4"/>
    <w:rsid w:val="00307F5D"/>
    <w:rsid w:val="003248ED"/>
    <w:rsid w:val="00370080"/>
    <w:rsid w:val="003823B5"/>
    <w:rsid w:val="003F19A6"/>
    <w:rsid w:val="00402ADD"/>
    <w:rsid w:val="00406FF4"/>
    <w:rsid w:val="0041682E"/>
    <w:rsid w:val="004215FE"/>
    <w:rsid w:val="00423D93"/>
    <w:rsid w:val="004242DB"/>
    <w:rsid w:val="00426FD0"/>
    <w:rsid w:val="00441726"/>
    <w:rsid w:val="004433D1"/>
    <w:rsid w:val="004505C5"/>
    <w:rsid w:val="00451B01"/>
    <w:rsid w:val="00455849"/>
    <w:rsid w:val="00471732"/>
    <w:rsid w:val="004A5900"/>
    <w:rsid w:val="004A5C32"/>
    <w:rsid w:val="004B41D4"/>
    <w:rsid w:val="004D5E59"/>
    <w:rsid w:val="004D602A"/>
    <w:rsid w:val="004D73CF"/>
    <w:rsid w:val="004E4945"/>
    <w:rsid w:val="004F451D"/>
    <w:rsid w:val="004F67BD"/>
    <w:rsid w:val="00505C51"/>
    <w:rsid w:val="00516A01"/>
    <w:rsid w:val="0053000A"/>
    <w:rsid w:val="00550F13"/>
    <w:rsid w:val="005530AE"/>
    <w:rsid w:val="00555F44"/>
    <w:rsid w:val="00560B49"/>
    <w:rsid w:val="00566103"/>
    <w:rsid w:val="005B0A15"/>
    <w:rsid w:val="00605A12"/>
    <w:rsid w:val="006269E5"/>
    <w:rsid w:val="00634AC7"/>
    <w:rsid w:val="006564AD"/>
    <w:rsid w:val="00657587"/>
    <w:rsid w:val="00661DCC"/>
    <w:rsid w:val="00672545"/>
    <w:rsid w:val="00685CCF"/>
    <w:rsid w:val="006A632B"/>
    <w:rsid w:val="006C06F5"/>
    <w:rsid w:val="006C7BC3"/>
    <w:rsid w:val="006E4A6C"/>
    <w:rsid w:val="006E6B2A"/>
    <w:rsid w:val="00700103"/>
    <w:rsid w:val="007137E1"/>
    <w:rsid w:val="00714C07"/>
    <w:rsid w:val="007370B6"/>
    <w:rsid w:val="00762B36"/>
    <w:rsid w:val="00763BA5"/>
    <w:rsid w:val="0076524F"/>
    <w:rsid w:val="00767B26"/>
    <w:rsid w:val="00795CED"/>
    <w:rsid w:val="007B6567"/>
    <w:rsid w:val="007B6D8A"/>
    <w:rsid w:val="007B7AF0"/>
    <w:rsid w:val="007C1A97"/>
    <w:rsid w:val="007C3278"/>
    <w:rsid w:val="007D18C3"/>
    <w:rsid w:val="007D7A9C"/>
    <w:rsid w:val="007E54D8"/>
    <w:rsid w:val="007E5880"/>
    <w:rsid w:val="00800860"/>
    <w:rsid w:val="008071DA"/>
    <w:rsid w:val="0082410E"/>
    <w:rsid w:val="008531D3"/>
    <w:rsid w:val="00860995"/>
    <w:rsid w:val="00865914"/>
    <w:rsid w:val="008669DA"/>
    <w:rsid w:val="0087056D"/>
    <w:rsid w:val="008743BA"/>
    <w:rsid w:val="008744F4"/>
    <w:rsid w:val="00875008"/>
    <w:rsid w:val="00876F8F"/>
    <w:rsid w:val="00877644"/>
    <w:rsid w:val="00877729"/>
    <w:rsid w:val="008A22A7"/>
    <w:rsid w:val="008C73C0"/>
    <w:rsid w:val="008D7885"/>
    <w:rsid w:val="00912B0B"/>
    <w:rsid w:val="009205E9"/>
    <w:rsid w:val="0092438C"/>
    <w:rsid w:val="00935E87"/>
    <w:rsid w:val="00941D04"/>
    <w:rsid w:val="00951DDC"/>
    <w:rsid w:val="00963CEF"/>
    <w:rsid w:val="00976FAC"/>
    <w:rsid w:val="00993065"/>
    <w:rsid w:val="0099477D"/>
    <w:rsid w:val="009A0661"/>
    <w:rsid w:val="009C19B9"/>
    <w:rsid w:val="009D0D28"/>
    <w:rsid w:val="009E6ACE"/>
    <w:rsid w:val="009E7B13"/>
    <w:rsid w:val="00A11EC6"/>
    <w:rsid w:val="00A131BD"/>
    <w:rsid w:val="00A264E4"/>
    <w:rsid w:val="00A32E20"/>
    <w:rsid w:val="00A5368C"/>
    <w:rsid w:val="00A56673"/>
    <w:rsid w:val="00A62B52"/>
    <w:rsid w:val="00A829A2"/>
    <w:rsid w:val="00A84B3E"/>
    <w:rsid w:val="00AA0ABD"/>
    <w:rsid w:val="00AB5612"/>
    <w:rsid w:val="00AC49AA"/>
    <w:rsid w:val="00AD7A8F"/>
    <w:rsid w:val="00AE7C75"/>
    <w:rsid w:val="00AF5736"/>
    <w:rsid w:val="00B124CC"/>
    <w:rsid w:val="00B17836"/>
    <w:rsid w:val="00B24C80"/>
    <w:rsid w:val="00B25462"/>
    <w:rsid w:val="00B330BD"/>
    <w:rsid w:val="00B4292F"/>
    <w:rsid w:val="00B5089C"/>
    <w:rsid w:val="00B57E8A"/>
    <w:rsid w:val="00B61594"/>
    <w:rsid w:val="00B64119"/>
    <w:rsid w:val="00B73BA7"/>
    <w:rsid w:val="00B94C5D"/>
    <w:rsid w:val="00BA4D1B"/>
    <w:rsid w:val="00BA5BB7"/>
    <w:rsid w:val="00BB00D0"/>
    <w:rsid w:val="00BB55EC"/>
    <w:rsid w:val="00BB6C85"/>
    <w:rsid w:val="00BC3CCE"/>
    <w:rsid w:val="00BD2D32"/>
    <w:rsid w:val="00C1184B"/>
    <w:rsid w:val="00C21D14"/>
    <w:rsid w:val="00C24CF7"/>
    <w:rsid w:val="00C42ECB"/>
    <w:rsid w:val="00C52A77"/>
    <w:rsid w:val="00C820B0"/>
    <w:rsid w:val="00CA472D"/>
    <w:rsid w:val="00CC6EF3"/>
    <w:rsid w:val="00CD6AEC"/>
    <w:rsid w:val="00CD6CD1"/>
    <w:rsid w:val="00CE6849"/>
    <w:rsid w:val="00CF4BBE"/>
    <w:rsid w:val="00CF6CB5"/>
    <w:rsid w:val="00D10224"/>
    <w:rsid w:val="00D44612"/>
    <w:rsid w:val="00D50299"/>
    <w:rsid w:val="00D74320"/>
    <w:rsid w:val="00D779BF"/>
    <w:rsid w:val="00D83D45"/>
    <w:rsid w:val="00D910C6"/>
    <w:rsid w:val="00D93937"/>
    <w:rsid w:val="00D97456"/>
    <w:rsid w:val="00DB78B1"/>
    <w:rsid w:val="00DE207A"/>
    <w:rsid w:val="00DE2719"/>
    <w:rsid w:val="00DF1913"/>
    <w:rsid w:val="00DF4098"/>
    <w:rsid w:val="00E007B4"/>
    <w:rsid w:val="00E234CA"/>
    <w:rsid w:val="00E41364"/>
    <w:rsid w:val="00E61AB4"/>
    <w:rsid w:val="00E70517"/>
    <w:rsid w:val="00E738EF"/>
    <w:rsid w:val="00E870D1"/>
    <w:rsid w:val="00E93A03"/>
    <w:rsid w:val="00ED346E"/>
    <w:rsid w:val="00EF7423"/>
    <w:rsid w:val="00F27DEC"/>
    <w:rsid w:val="00F3344F"/>
    <w:rsid w:val="00F60CF4"/>
    <w:rsid w:val="00FC1F40"/>
    <w:rsid w:val="00FD0F2C"/>
    <w:rsid w:val="00FE362B"/>
    <w:rsid w:val="00FE48C0"/>
    <w:rsid w:val="00FE4F10"/>
    <w:rsid w:val="00FF47B2"/>
    <w:rsid w:val="00FF5E9B"/>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70942CB5-10A8-4ECB-A5A6-5FCAB52B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hgkelc">
    <w:name w:val="hgkelc"/>
    <w:basedOn w:val="DefaultParagraphFont"/>
    <w:rsid w:val="00FF5E9B"/>
  </w:style>
  <w:style w:type="character" w:styleId="Emphasis">
    <w:name w:val="Emphasis"/>
    <w:basedOn w:val="DefaultParagraphFont"/>
    <w:uiPriority w:val="20"/>
    <w:qFormat/>
    <w:locked/>
    <w:rsid w:val="002F5FB4"/>
    <w:rPr>
      <w:i/>
      <w:iCs/>
    </w:rPr>
  </w:style>
  <w:style w:type="character" w:styleId="Strong">
    <w:name w:val="Strong"/>
    <w:basedOn w:val="DefaultParagraphFont"/>
    <w:uiPriority w:val="22"/>
    <w:qFormat/>
    <w:locked/>
    <w:rsid w:val="00D97456"/>
    <w:rPr>
      <w:b/>
      <w:bCs/>
    </w:rPr>
  </w:style>
  <w:style w:type="paragraph" w:customStyle="1" w:styleId="Capatationtitle">
    <w:name w:val="Capatation title"/>
    <w:basedOn w:val="Caption"/>
    <w:link w:val="CapatationtitleChar"/>
    <w:qFormat/>
    <w:rsid w:val="00D97456"/>
    <w:pPr>
      <w:spacing w:after="120" w:line="276" w:lineRule="auto"/>
      <w:jc w:val="both"/>
    </w:pPr>
    <w:rPr>
      <w:rFonts w:ascii="Arial" w:eastAsiaTheme="minorHAnsi" w:hAnsi="Arial" w:cstheme="minorBidi"/>
      <w:b/>
      <w:bCs/>
      <w:i w:val="0"/>
      <w:color w:val="0E101A"/>
      <w:sz w:val="20"/>
      <w:szCs w:val="20"/>
      <w:lang w:val="en-GB" w:eastAsia="de-CH"/>
    </w:rPr>
  </w:style>
  <w:style w:type="character" w:customStyle="1" w:styleId="CapatationtitleChar">
    <w:name w:val="Capatation title Char"/>
    <w:basedOn w:val="DefaultParagraphFont"/>
    <w:link w:val="Capatationtitle"/>
    <w:rsid w:val="00D97456"/>
    <w:rPr>
      <w:rFonts w:ascii="Arial" w:eastAsiaTheme="minorHAnsi" w:hAnsi="Arial" w:cstheme="minorBidi"/>
      <w:b/>
      <w:bCs/>
      <w:iCs/>
      <w:color w:val="0E101A"/>
      <w:sz w:val="20"/>
      <w:szCs w:val="20"/>
      <w:lang w:val="en-GB" w:eastAsia="de-CH"/>
    </w:rPr>
  </w:style>
  <w:style w:type="paragraph" w:styleId="Caption">
    <w:name w:val="caption"/>
    <w:basedOn w:val="Normal"/>
    <w:next w:val="Normal"/>
    <w:semiHidden/>
    <w:unhideWhenUsed/>
    <w:qFormat/>
    <w:locked/>
    <w:rsid w:val="00D97456"/>
    <w:pPr>
      <w:spacing w:after="200"/>
    </w:pPr>
    <w:rPr>
      <w:i/>
      <w:iCs/>
      <w:color w:val="1F497D" w:themeColor="text2"/>
      <w:sz w:val="18"/>
      <w:szCs w:val="18"/>
    </w:rPr>
  </w:style>
  <w:style w:type="paragraph" w:styleId="NormalWeb">
    <w:name w:val="Normal (Web)"/>
    <w:basedOn w:val="Normal"/>
    <w:uiPriority w:val="99"/>
    <w:semiHidden/>
    <w:unhideWhenUsed/>
    <w:rsid w:val="00935E87"/>
    <w:pPr>
      <w:spacing w:before="100" w:beforeAutospacing="1" w:after="100" w:afterAutospacing="1"/>
    </w:pPr>
    <w:rPr>
      <w:rFonts w:ascii="Times New Roman" w:eastAsia="Times New Roman" w:hAnsi="Times New Roman"/>
      <w:lang w:val="de-CH" w:eastAsia="de-CH"/>
    </w:rPr>
  </w:style>
  <w:style w:type="paragraph" w:styleId="HTMLPreformatted">
    <w:name w:val="HTML Preformatted"/>
    <w:basedOn w:val="Normal"/>
    <w:link w:val="HTMLPreformattedChar"/>
    <w:uiPriority w:val="99"/>
    <w:unhideWhenUsed/>
    <w:rsid w:val="007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CH" w:eastAsia="de-CH"/>
    </w:rPr>
  </w:style>
  <w:style w:type="character" w:customStyle="1" w:styleId="HTMLPreformattedChar">
    <w:name w:val="HTML Preformatted Char"/>
    <w:basedOn w:val="DefaultParagraphFont"/>
    <w:link w:val="HTMLPreformatted"/>
    <w:uiPriority w:val="99"/>
    <w:rsid w:val="007D7A9C"/>
    <w:rPr>
      <w:rFonts w:ascii="Courier New" w:eastAsia="Times New Roman" w:hAnsi="Courier New" w:cs="Courier New"/>
      <w:sz w:val="20"/>
      <w:szCs w:val="20"/>
      <w:lang w:val="de-CH" w:eastAsia="de-CH"/>
    </w:rPr>
  </w:style>
  <w:style w:type="character" w:customStyle="1" w:styleId="go2aamxbe4b">
    <w:name w:val="go2aamxbe4b"/>
    <w:basedOn w:val="DefaultParagraphFont"/>
    <w:rsid w:val="00241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90393761">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622200260">
      <w:bodyDiv w:val="1"/>
      <w:marLeft w:val="0"/>
      <w:marRight w:val="0"/>
      <w:marTop w:val="0"/>
      <w:marBottom w:val="0"/>
      <w:divBdr>
        <w:top w:val="none" w:sz="0" w:space="0" w:color="auto"/>
        <w:left w:val="none" w:sz="0" w:space="0" w:color="auto"/>
        <w:bottom w:val="none" w:sz="0" w:space="0" w:color="auto"/>
        <w:right w:val="none" w:sz="0" w:space="0" w:color="auto"/>
      </w:divBdr>
    </w:div>
    <w:div w:id="628902926">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478795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35396723">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36AD2-BEE7-4B54-BCEE-606BC25F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Melissa Penny</cp:lastModifiedBy>
  <cp:revision>4</cp:revision>
  <dcterms:created xsi:type="dcterms:W3CDTF">2022-02-15T17:01:00Z</dcterms:created>
  <dcterms:modified xsi:type="dcterms:W3CDTF">2022-02-15T19:49:00Z</dcterms:modified>
</cp:coreProperties>
</file>