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C5B93EF" w:rsidR="00877644" w:rsidRPr="00125190" w:rsidRDefault="009F23B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Doesn’t apply, as we reanalyzed the previously collected data.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D296B32" w:rsidR="00B330BD" w:rsidRPr="00125190" w:rsidRDefault="009F23B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Details of inclusion and exclusion criteria are described in the Methods.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6CC2F1D" w:rsidR="0015519A" w:rsidRPr="00505C51" w:rsidRDefault="00EC66F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Methods, and captions of Figures 1 and 6.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3EF6030" w14:textId="77777777" w:rsidR="00EC66FE" w:rsidRPr="00125190" w:rsidRDefault="00EC66FE" w:rsidP="00EC66F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Doesn’t apply, as we reanalyzed the previously collected data.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C1FC9CE" w:rsidR="00BC3CCE" w:rsidRPr="00505C51" w:rsidRDefault="00EC66F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C66FE">
        <w:rPr>
          <w:rFonts w:asciiTheme="minorHAnsi" w:hAnsiTheme="minorHAnsi"/>
          <w:sz w:val="22"/>
          <w:szCs w:val="22"/>
        </w:rPr>
        <w:t>Codes for reproducing main analyses and simulations will be made freely available upon publication</w:t>
      </w:r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D90C0" w14:textId="77777777" w:rsidR="009C3A77" w:rsidRDefault="009C3A77" w:rsidP="004215FE">
      <w:r>
        <w:separator/>
      </w:r>
    </w:p>
  </w:endnote>
  <w:endnote w:type="continuationSeparator" w:id="0">
    <w:p w14:paraId="6682C1E7" w14:textId="77777777" w:rsidR="009C3A77" w:rsidRDefault="009C3A7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D9F73" w14:textId="77777777" w:rsidR="009C3A77" w:rsidRDefault="009C3A77" w:rsidP="004215FE">
      <w:r>
        <w:separator/>
      </w:r>
    </w:p>
  </w:footnote>
  <w:footnote w:type="continuationSeparator" w:id="0">
    <w:p w14:paraId="2B085979" w14:textId="77777777" w:rsidR="009C3A77" w:rsidRDefault="009C3A7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C3A77"/>
    <w:rsid w:val="009D0D28"/>
    <w:rsid w:val="009E6ACE"/>
    <w:rsid w:val="009E7B13"/>
    <w:rsid w:val="009F23BC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C66FE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BCD8AD50-0A78-4D40-B372-10719BC49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716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Sadeh, Sadra</cp:lastModifiedBy>
  <cp:revision>29</cp:revision>
  <dcterms:created xsi:type="dcterms:W3CDTF">2017-06-13T14:43:00Z</dcterms:created>
  <dcterms:modified xsi:type="dcterms:W3CDTF">2022-02-21T11:36:00Z</dcterms:modified>
</cp:coreProperties>
</file>