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9F35F8B" w:rsidR="00877644" w:rsidRPr="00125190" w:rsidRDefault="00C063A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analysis was used. The sample size was limited by the technical constraints of high-quality cryo-ET imaging. The number of used tomograms and extracted subvolumes for averaging are listed in Table 1.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D5FEA4F" w:rsidR="00B330BD" w:rsidRPr="00125190" w:rsidRDefault="006F1C6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excluded tomograms </w:t>
      </w:r>
      <w:r w:rsidR="003631EF">
        <w:rPr>
          <w:rFonts w:asciiTheme="minorHAnsi" w:hAnsiTheme="minorHAnsi"/>
        </w:rPr>
        <w:t>containing</w:t>
      </w:r>
      <w:r>
        <w:rPr>
          <w:rFonts w:asciiTheme="minorHAnsi" w:hAnsiTheme="minorHAnsi"/>
        </w:rPr>
        <w:t xml:space="preserve"> cilia that were compressed or damaged by non-vitreous ice</w:t>
      </w:r>
      <w:r w:rsidR="00FE7DB3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as stated in the materials and methods section under “data processing</w:t>
      </w:r>
      <w:r w:rsidR="00FE7DB3">
        <w:rPr>
          <w:rFonts w:asciiTheme="minorHAnsi" w:hAnsiTheme="minorHAnsi"/>
        </w:rPr>
        <w:t>”</w:t>
      </w:r>
      <w:r>
        <w:rPr>
          <w:rFonts w:asciiTheme="minorHAnsi" w:hAnsiTheme="minorHAnsi"/>
        </w:rPr>
        <w:t>. I</w:t>
      </w:r>
      <w:r w:rsidR="00502849">
        <w:rPr>
          <w:rFonts w:asciiTheme="minorHAnsi" w:hAnsiTheme="minorHAnsi"/>
        </w:rPr>
        <w:t xml:space="preserve">nformation </w:t>
      </w:r>
      <w:r>
        <w:rPr>
          <w:rFonts w:asciiTheme="minorHAnsi" w:hAnsiTheme="minorHAnsi"/>
        </w:rPr>
        <w:t>regarding replicate</w:t>
      </w:r>
      <w:r w:rsidR="00FE7DB3">
        <w:rPr>
          <w:rFonts w:asciiTheme="minorHAnsi" w:hAnsiTheme="minorHAnsi"/>
        </w:rPr>
        <w:t>s (including tomogram and particle</w:t>
      </w:r>
      <w:r>
        <w:rPr>
          <w:rFonts w:asciiTheme="minorHAnsi" w:hAnsiTheme="minorHAnsi"/>
        </w:rPr>
        <w:t xml:space="preserve"> numbers</w:t>
      </w:r>
      <w:r w:rsidR="00FE7DB3">
        <w:rPr>
          <w:rFonts w:asciiTheme="minorHAnsi" w:hAnsiTheme="minorHAnsi"/>
        </w:rPr>
        <w:t>) and resolution</w:t>
      </w:r>
      <w:r>
        <w:rPr>
          <w:rFonts w:asciiTheme="minorHAnsi" w:hAnsiTheme="minorHAnsi"/>
        </w:rPr>
        <w:t xml:space="preserve"> </w:t>
      </w:r>
      <w:r w:rsidR="00502849">
        <w:rPr>
          <w:rFonts w:asciiTheme="minorHAnsi" w:hAnsiTheme="minorHAnsi"/>
        </w:rPr>
        <w:t xml:space="preserve">can be found in Table 1 </w:t>
      </w:r>
      <w:r w:rsidR="009D0C52">
        <w:rPr>
          <w:rFonts w:asciiTheme="minorHAnsi" w:hAnsiTheme="minorHAnsi"/>
        </w:rPr>
        <w:t xml:space="preserve">and Figure 3-figure supplement 1. </w:t>
      </w:r>
      <w:r w:rsidR="00C063AA">
        <w:rPr>
          <w:rFonts w:asciiTheme="minorHAnsi" w:hAnsiTheme="minorHAnsi"/>
        </w:rPr>
        <w:t>Of the 54 tomograms collected for the 96-nm repeat analysis, 23 were selected for CPC analysis based on good IMOD tilt-series alignment scores and visual confirmation of well-resolved densities in the center of the axoneme.</w:t>
      </w:r>
      <w:r w:rsidR="0031797D">
        <w:rPr>
          <w:rFonts w:asciiTheme="minorHAnsi" w:hAnsiTheme="minorHAnsi"/>
        </w:rPr>
        <w:t xml:space="preserve"> Tomograms were selected for barb averaging based on visual presence of multiple barbs.</w:t>
      </w:r>
    </w:p>
    <w:p w14:paraId="3E1A6B61" w14:textId="63ACE2F1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3D7B80D" w:rsidR="0015519A" w:rsidRPr="00505C51" w:rsidRDefault="00182F6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 values are provided </w:t>
      </w:r>
      <w:r w:rsidR="003631EF">
        <w:rPr>
          <w:rFonts w:asciiTheme="minorHAnsi" w:hAnsiTheme="minorHAnsi"/>
          <w:sz w:val="22"/>
          <w:szCs w:val="22"/>
        </w:rPr>
        <w:t xml:space="preserve">in the Results section, Figures, and Figure legends </w:t>
      </w:r>
      <w:r>
        <w:rPr>
          <w:rFonts w:asciiTheme="minorHAnsi" w:hAnsiTheme="minorHAnsi"/>
          <w:sz w:val="22"/>
          <w:szCs w:val="22"/>
        </w:rPr>
        <w:t>whe</w:t>
      </w:r>
      <w:r w:rsidR="003631EF">
        <w:rPr>
          <w:rFonts w:asciiTheme="minorHAnsi" w:hAnsiTheme="minorHAnsi"/>
          <w:sz w:val="22"/>
          <w:szCs w:val="22"/>
        </w:rPr>
        <w:t xml:space="preserve">re </w:t>
      </w:r>
      <w:r>
        <w:rPr>
          <w:rFonts w:asciiTheme="minorHAnsi" w:hAnsiTheme="minorHAnsi"/>
          <w:sz w:val="22"/>
          <w:szCs w:val="22"/>
        </w:rPr>
        <w:t>relevant</w:t>
      </w:r>
      <w:r w:rsidR="0031797D">
        <w:rPr>
          <w:rFonts w:asciiTheme="minorHAnsi" w:hAnsiTheme="minorHAnsi"/>
          <w:sz w:val="22"/>
          <w:szCs w:val="22"/>
        </w:rPr>
        <w:t xml:space="preserve">, and in Table 1.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C6D3818" w:rsidR="00BC3CCE" w:rsidRPr="00505C51" w:rsidRDefault="0031797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experimental groups were included in this study.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230E5D2" w14:textId="568633BF" w:rsidR="006A7A35" w:rsidRPr="00505C51" w:rsidRDefault="00115D5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Useful a</w:t>
      </w:r>
      <w:r w:rsidR="00182F6B">
        <w:rPr>
          <w:rFonts w:asciiTheme="minorHAnsi" w:hAnsiTheme="minorHAnsi"/>
          <w:sz w:val="22"/>
          <w:szCs w:val="22"/>
        </w:rPr>
        <w:t xml:space="preserve">dditional data have been included as figure supplements wherever relevant. </w:t>
      </w:r>
      <w:r w:rsidR="006A7A35">
        <w:rPr>
          <w:rFonts w:asciiTheme="minorHAnsi" w:hAnsiTheme="minorHAnsi"/>
          <w:sz w:val="22"/>
          <w:szCs w:val="22"/>
        </w:rPr>
        <w:t>Cryo-ET averages have been deposited to the EM Data Bank under accession codes EMD-26204, EMD-26209, and EMD-26210.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9C12F" w14:textId="77777777" w:rsidR="003B5A5B" w:rsidRDefault="003B5A5B" w:rsidP="004215FE">
      <w:r>
        <w:separator/>
      </w:r>
    </w:p>
  </w:endnote>
  <w:endnote w:type="continuationSeparator" w:id="0">
    <w:p w14:paraId="19459AC9" w14:textId="77777777" w:rsidR="003B5A5B" w:rsidRDefault="003B5A5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E629A" w14:textId="77777777" w:rsidR="003B5A5B" w:rsidRDefault="003B5A5B" w:rsidP="004215FE">
      <w:r>
        <w:separator/>
      </w:r>
    </w:p>
  </w:footnote>
  <w:footnote w:type="continuationSeparator" w:id="0">
    <w:p w14:paraId="41F3ABDB" w14:textId="77777777" w:rsidR="003B5A5B" w:rsidRDefault="003B5A5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5D58"/>
    <w:rsid w:val="00125190"/>
    <w:rsid w:val="00133662"/>
    <w:rsid w:val="00133907"/>
    <w:rsid w:val="00146DE9"/>
    <w:rsid w:val="0015519A"/>
    <w:rsid w:val="001618D5"/>
    <w:rsid w:val="00175192"/>
    <w:rsid w:val="00182F6B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1797D"/>
    <w:rsid w:val="003248ED"/>
    <w:rsid w:val="003631EF"/>
    <w:rsid w:val="00370080"/>
    <w:rsid w:val="003B5A5B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2849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A7A35"/>
    <w:rsid w:val="006C06F5"/>
    <w:rsid w:val="006C7BC3"/>
    <w:rsid w:val="006E4A6C"/>
    <w:rsid w:val="006E6B2A"/>
    <w:rsid w:val="006F1C63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25A48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C52"/>
    <w:rsid w:val="009D0D28"/>
    <w:rsid w:val="009E6ACE"/>
    <w:rsid w:val="009E7B13"/>
    <w:rsid w:val="00A11EC6"/>
    <w:rsid w:val="00A131BD"/>
    <w:rsid w:val="00A25732"/>
    <w:rsid w:val="00A32E20"/>
    <w:rsid w:val="00A5368C"/>
    <w:rsid w:val="00A61DCD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63AA"/>
    <w:rsid w:val="00C1184B"/>
    <w:rsid w:val="00C21D14"/>
    <w:rsid w:val="00C24CF7"/>
    <w:rsid w:val="00C42ECB"/>
    <w:rsid w:val="00C52A77"/>
    <w:rsid w:val="00C820B0"/>
    <w:rsid w:val="00CA4D28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E7DB3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EC9B18DB-4315-F041-99B0-5AA26FE0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Justine Pinskey</cp:lastModifiedBy>
  <cp:revision>3</cp:revision>
  <dcterms:created xsi:type="dcterms:W3CDTF">2022-02-24T23:55:00Z</dcterms:created>
  <dcterms:modified xsi:type="dcterms:W3CDTF">2022-02-25T00:05:00Z</dcterms:modified>
</cp:coreProperties>
</file>