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758A" w14:textId="1E74FCDA" w:rsidR="00B57EDE" w:rsidRDefault="00B57EDE"/>
    <w:p w14:paraId="712300E1" w14:textId="5BCE9EE8" w:rsidR="00B57EDE" w:rsidRDefault="00B57EDE"/>
    <w:p w14:paraId="07E99A28" w14:textId="6AB81B15" w:rsidR="00B57EDE" w:rsidRDefault="00F32164">
      <w:r w:rsidRPr="00705EC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A946C6" wp14:editId="793549C2">
                <wp:simplePos x="0" y="0"/>
                <wp:positionH relativeFrom="column">
                  <wp:posOffset>-55245</wp:posOffset>
                </wp:positionH>
                <wp:positionV relativeFrom="paragraph">
                  <wp:posOffset>1532191</wp:posOffset>
                </wp:positionV>
                <wp:extent cx="7108991" cy="938530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1FE4C6-C154-4EDA-86EE-3260AFB3D9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991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9FFD05" w14:textId="77777777" w:rsidR="00705ECC" w:rsidRPr="00F43A1F" w:rsidRDefault="00705ECC" w:rsidP="00705E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43A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The human or mouse AKAP12 primary sequence was evaluated for predicted kinases from 4 different kinase prediction </w:t>
                            </w:r>
                            <w:proofErr w:type="spellStart"/>
                            <w:r w:rsidRPr="00F43A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softwares</w:t>
                            </w:r>
                            <w:proofErr w:type="spellEnd"/>
                            <w:r w:rsidRPr="00F43A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NetPhos3.1 (Center for Biological sequence analysis, Denmark), </w:t>
                            </w:r>
                            <w:proofErr w:type="spellStart"/>
                            <w:r w:rsidRPr="00F43A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PhosphoNet-Kinexus</w:t>
                            </w:r>
                            <w:proofErr w:type="spellEnd"/>
                            <w:r w:rsidRPr="00F43A1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(Bioinformatics corporation), </w:t>
                            </w:r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GPS5.0 (group-based prediction system, version 5.0) and </w:t>
                            </w:r>
                            <w:proofErr w:type="spellStart"/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scansite</w:t>
                            </w:r>
                            <w:proofErr w:type="spellEnd"/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4.0. The confidence level ranged from low to medium to high based on similarity to the consensus for each kinase. PKC</w:t>
                            </w:r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l-GR"/>
                              </w:rPr>
                              <w:t>α</w:t>
                            </w:r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consensus site with high confidence: [S/T]-X-[R/K]; PKC</w:t>
                            </w:r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l-GR"/>
                              </w:rPr>
                              <w:t xml:space="preserve">α </w:t>
                            </w:r>
                            <w:r w:rsidRPr="00F43A1F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consensus site with low/medium confidence: [R/K]-X-[S/T]; calmodulin kinase (CAMK) consensus site: [R]-X-X-[S/T]. S/T= serine/threonine, X=any amino acid, R/K= basic amino acids, Arginine and lysine.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A946C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-4.35pt;margin-top:120.65pt;width:559.75pt;height:73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" filled="f" stroked="f">
                <v:textbox style="mso-fit-shape-to-text:t">
                  <w:txbxContent>
                    <w:p w14:paraId="119FFD05" w14:textId="77777777" w:rsidR="00705ECC" w:rsidRPr="00F43A1F" w:rsidRDefault="00705ECC" w:rsidP="00705E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43A1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The human or mouse AKAP12 primary sequence was evaluated for predicted kinases from 4 different kinase prediction </w:t>
                      </w:r>
                      <w:proofErr w:type="spellStart"/>
                      <w:r w:rsidRPr="00F43A1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softwares</w:t>
                      </w:r>
                      <w:proofErr w:type="spellEnd"/>
                      <w:r w:rsidRPr="00F43A1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NetPhos3.1 (Center for Biological sequence analysis, Denmark), </w:t>
                      </w:r>
                      <w:proofErr w:type="spellStart"/>
                      <w:r w:rsidRPr="00F43A1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PhosphoNet-Kinexus</w:t>
                      </w:r>
                      <w:proofErr w:type="spellEnd"/>
                      <w:r w:rsidRPr="00F43A1F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(Bioinformatics corporation), </w:t>
                      </w:r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GPS5.0 (group-based prediction system, version 5.0) and </w:t>
                      </w:r>
                      <w:proofErr w:type="spellStart"/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scansite</w:t>
                      </w:r>
                      <w:proofErr w:type="spellEnd"/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4.0. The confidence level ranged from low to medium to high based on similarity to the consensus for each kinase. PKC</w:t>
                      </w:r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  <w:lang w:val="el-GR"/>
                        </w:rPr>
                        <w:t>α</w:t>
                      </w:r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consensus site with high confidence: [S/T]-X-[R/K]; PKC</w:t>
                      </w:r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  <w:lang w:val="el-GR"/>
                        </w:rPr>
                        <w:t xml:space="preserve">α </w:t>
                      </w:r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consensus site with low/medium confidence: [R/K]-X-[S/T]; calmodulin kinase (CAMK) consensus site: [R]-X-X-[S/T]. S/T= serine/threonine, X=any amino acid, R/K= basic amino acids, </w:t>
                      </w:r>
                      <w:proofErr w:type="gramStart"/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Arginine</w:t>
                      </w:r>
                      <w:proofErr w:type="gramEnd"/>
                      <w:r w:rsidRPr="00F43A1F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lysine.</w:t>
                      </w:r>
                    </w:p>
                  </w:txbxContent>
                </v:textbox>
              </v:shape>
            </w:pict>
          </mc:Fallback>
        </mc:AlternateContent>
      </w:r>
      <w:r w:rsidR="00842A93">
        <w:rPr>
          <w:noProof/>
        </w:rPr>
        <w:drawing>
          <wp:anchor distT="0" distB="0" distL="114300" distR="114300" simplePos="0" relativeHeight="251697152" behindDoc="0" locked="0" layoutInCell="1" allowOverlap="1" wp14:anchorId="7C02B5A3" wp14:editId="6897BADD">
            <wp:simplePos x="0" y="0"/>
            <wp:positionH relativeFrom="column">
              <wp:posOffset>-6350</wp:posOffset>
            </wp:positionH>
            <wp:positionV relativeFrom="paragraph">
              <wp:posOffset>443230</wp:posOffset>
            </wp:positionV>
            <wp:extent cx="7059295" cy="1090930"/>
            <wp:effectExtent l="0" t="0" r="8255" b="0"/>
            <wp:wrapSquare wrapText="bothSides"/>
            <wp:docPr id="12" name="Picture 1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29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ECC" w:rsidRPr="00C0595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A44C9" wp14:editId="0F2E8A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4344" cy="276999"/>
                <wp:effectExtent l="0" t="0" r="0" b="0"/>
                <wp:wrapNone/>
                <wp:docPr id="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34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E2A18" w14:textId="66AF7F48" w:rsidR="00705ECC" w:rsidRDefault="00705ECC" w:rsidP="00705E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Supplementary Table S</w:t>
                            </w:r>
                            <w:r w:rsidR="00F3216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Pr="00705EC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Kinase-prediction for AKAP12’s activation-responsive phospho-sites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A44C9" id="TextBox 1" o:spid="_x0000_s1027" type="#_x0000_t202" style="position:absolute;margin-left:0;margin-top:0;width:530.25pt;height:21.8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" filled="f" stroked="f">
                <v:textbox style="mso-fit-shape-to-text:t">
                  <w:txbxContent>
                    <w:p w14:paraId="3E4E2A18" w14:textId="66AF7F48" w:rsidR="00705ECC" w:rsidRDefault="00705ECC" w:rsidP="00705E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Supplementary Table S</w:t>
                      </w:r>
                      <w:r w:rsidR="00F3216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. </w:t>
                      </w:r>
                      <w:r w:rsidRPr="00705EC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Kinase-prediction for AKAP12’s activation-responsive phospho-sites</w:t>
                      </w:r>
                    </w:p>
                  </w:txbxContent>
                </v:textbox>
              </v:shape>
            </w:pict>
          </mc:Fallback>
        </mc:AlternateContent>
      </w:r>
    </w:p>
    <w:p w14:paraId="4A1D955F" w14:textId="4AF431DD" w:rsidR="00B57EDE" w:rsidRDefault="00B57EDE"/>
    <w:p w14:paraId="2F13CAFA" w14:textId="57B02AFA" w:rsidR="00B57EDE" w:rsidRDefault="00B57EDE"/>
    <w:p w14:paraId="3B831FE1" w14:textId="3B494CA7" w:rsidR="00B57EDE" w:rsidRDefault="00B57EDE"/>
    <w:p w14:paraId="04C44E5D" w14:textId="30C56612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4462BFE2" w14:textId="2BD6C9A8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05D84A77" w14:textId="1FDE0425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795C2DFE" w14:textId="64A91344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p w14:paraId="77A1E1B9" w14:textId="4554F164" w:rsidR="00162FC3" w:rsidRDefault="00162FC3" w:rsidP="00416AC5">
      <w:pPr>
        <w:spacing w:after="0" w:line="360" w:lineRule="auto"/>
        <w:jc w:val="both"/>
        <w:rPr>
          <w:rFonts w:ascii="Arial" w:hAnsi="Arial" w:cs="Arial"/>
        </w:rPr>
      </w:pPr>
    </w:p>
    <w:sectPr w:rsidR="00162FC3" w:rsidSect="00537F33">
      <w:pgSz w:w="11906" w:h="16838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23A1" w14:textId="77777777" w:rsidR="00E80323" w:rsidRDefault="00E80323" w:rsidP="00842A93">
      <w:pPr>
        <w:spacing w:after="0" w:line="240" w:lineRule="auto"/>
      </w:pPr>
      <w:r>
        <w:separator/>
      </w:r>
    </w:p>
  </w:endnote>
  <w:endnote w:type="continuationSeparator" w:id="0">
    <w:p w14:paraId="51967817" w14:textId="77777777" w:rsidR="00E80323" w:rsidRDefault="00E80323" w:rsidP="0084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C8FC" w14:textId="77777777" w:rsidR="00E80323" w:rsidRDefault="00E80323" w:rsidP="00842A93">
      <w:pPr>
        <w:spacing w:after="0" w:line="240" w:lineRule="auto"/>
      </w:pPr>
      <w:r>
        <w:separator/>
      </w:r>
    </w:p>
  </w:footnote>
  <w:footnote w:type="continuationSeparator" w:id="0">
    <w:p w14:paraId="3B1D28BB" w14:textId="77777777" w:rsidR="00E80323" w:rsidRDefault="00E80323" w:rsidP="00842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C9"/>
    <w:rsid w:val="00067D59"/>
    <w:rsid w:val="000773C5"/>
    <w:rsid w:val="000C28AD"/>
    <w:rsid w:val="000F6042"/>
    <w:rsid w:val="00105741"/>
    <w:rsid w:val="00162FC3"/>
    <w:rsid w:val="0020362B"/>
    <w:rsid w:val="00217CE6"/>
    <w:rsid w:val="002376A0"/>
    <w:rsid w:val="00244ADF"/>
    <w:rsid w:val="002929CE"/>
    <w:rsid w:val="002B256A"/>
    <w:rsid w:val="00416AC5"/>
    <w:rsid w:val="0047522D"/>
    <w:rsid w:val="004A158E"/>
    <w:rsid w:val="004C4594"/>
    <w:rsid w:val="005066B2"/>
    <w:rsid w:val="00537F33"/>
    <w:rsid w:val="00541249"/>
    <w:rsid w:val="00574C68"/>
    <w:rsid w:val="005D04AD"/>
    <w:rsid w:val="005F6CA8"/>
    <w:rsid w:val="00603214"/>
    <w:rsid w:val="00610FA3"/>
    <w:rsid w:val="00624C73"/>
    <w:rsid w:val="00694DDD"/>
    <w:rsid w:val="006E59EC"/>
    <w:rsid w:val="00705ECC"/>
    <w:rsid w:val="00706A0F"/>
    <w:rsid w:val="00752035"/>
    <w:rsid w:val="0078132E"/>
    <w:rsid w:val="0078540D"/>
    <w:rsid w:val="007950DF"/>
    <w:rsid w:val="00842A93"/>
    <w:rsid w:val="008436D1"/>
    <w:rsid w:val="00861400"/>
    <w:rsid w:val="009237A7"/>
    <w:rsid w:val="009C04E4"/>
    <w:rsid w:val="00A456E3"/>
    <w:rsid w:val="00A54EC9"/>
    <w:rsid w:val="00A62E66"/>
    <w:rsid w:val="00AC60D6"/>
    <w:rsid w:val="00B05FCB"/>
    <w:rsid w:val="00B11770"/>
    <w:rsid w:val="00B57EDE"/>
    <w:rsid w:val="00B61FA1"/>
    <w:rsid w:val="00B86900"/>
    <w:rsid w:val="00B90942"/>
    <w:rsid w:val="00C0595E"/>
    <w:rsid w:val="00C31B09"/>
    <w:rsid w:val="00C76840"/>
    <w:rsid w:val="00CB5894"/>
    <w:rsid w:val="00E02D61"/>
    <w:rsid w:val="00E80323"/>
    <w:rsid w:val="00F32164"/>
    <w:rsid w:val="00F43A1F"/>
    <w:rsid w:val="00FB2D85"/>
    <w:rsid w:val="00FE37B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D67F"/>
  <w15:chartTrackingRefBased/>
  <w15:docId w15:val="{E0C5F53B-05B4-437F-B933-F97BC987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2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A93"/>
  </w:style>
  <w:style w:type="paragraph" w:styleId="Footer">
    <w:name w:val="footer"/>
    <w:basedOn w:val="Normal"/>
    <w:link w:val="FooterChar"/>
    <w:uiPriority w:val="99"/>
    <w:unhideWhenUsed/>
    <w:rsid w:val="00842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Ramani</dc:creator>
  <cp:keywords/>
  <dc:description/>
  <cp:lastModifiedBy>Komal Ramani</cp:lastModifiedBy>
  <cp:revision>3</cp:revision>
  <dcterms:created xsi:type="dcterms:W3CDTF">2022-07-20T20:53:00Z</dcterms:created>
  <dcterms:modified xsi:type="dcterms:W3CDTF">2022-07-20T20:54:00Z</dcterms:modified>
</cp:coreProperties>
</file>