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45DE6F51" w:rsidR="00673CF2" w:rsidRDefault="00253FEA" w:rsidP="000A2021">
            <w:pPr>
              <w:rPr>
                <w:sz w:val="18"/>
                <w:szCs w:val="18"/>
              </w:rPr>
            </w:pPr>
            <w:r>
              <w:rPr>
                <w:sz w:val="18"/>
                <w:szCs w:val="18"/>
              </w:rPr>
              <w:t xml:space="preserve">Data availability statement at end of article </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4242602C" w:rsidR="002B6123" w:rsidRDefault="00253FEA"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7B1F7BE6" w:rsidR="002B6123" w:rsidRDefault="00253FEA" w:rsidP="000A2021">
            <w:pPr>
              <w:rPr>
                <w:sz w:val="18"/>
                <w:szCs w:val="18"/>
              </w:rPr>
            </w:pPr>
            <w:r>
              <w:rPr>
                <w:sz w:val="18"/>
                <w:szCs w:val="18"/>
              </w:rPr>
              <w:t>NA</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347C1EF4" w:rsidR="00D350BE" w:rsidRDefault="00253FEA"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Default="00D350BE" w:rsidP="004B5793">
            <w:pPr>
              <w:jc w:val="center"/>
              <w:rPr>
                <w:sz w:val="18"/>
                <w:szCs w:val="18"/>
              </w:rPr>
            </w:pP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093DA052" w:rsidR="00D350BE" w:rsidRDefault="00253FEA"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7777777" w:rsidR="00D350BE" w:rsidRDefault="00D350BE" w:rsidP="004B5793">
            <w:pPr>
              <w:jc w:val="center"/>
              <w:rPr>
                <w:sz w:val="18"/>
                <w:szCs w:val="18"/>
              </w:rPr>
            </w:pP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4C046B4D" w:rsidR="00D350BE" w:rsidRDefault="00253FEA"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5B30A037" w:rsidR="00D350BE" w:rsidRDefault="00253FEA"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77777777" w:rsidR="00D350BE" w:rsidRDefault="00D350BE" w:rsidP="004B5793">
            <w:pPr>
              <w:jc w:val="center"/>
              <w:rPr>
                <w:sz w:val="18"/>
                <w:szCs w:val="18"/>
              </w:rPr>
            </w:pP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1C9CDC1" w:rsidR="00D350BE" w:rsidRDefault="00253FEA"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77777777" w:rsidR="00D350BE" w:rsidRDefault="00D350BE" w:rsidP="004B5793">
            <w:pPr>
              <w:jc w:val="center"/>
              <w:rPr>
                <w:sz w:val="18"/>
                <w:szCs w:val="18"/>
              </w:rPr>
            </w:pP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51BD4BA" w:rsidR="00D350BE" w:rsidRDefault="00253FEA"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77777777" w:rsidR="00D350BE" w:rsidRDefault="00D350BE" w:rsidP="004B5793">
            <w:pPr>
              <w:jc w:val="center"/>
              <w:rPr>
                <w:sz w:val="18"/>
                <w:szCs w:val="18"/>
              </w:rPr>
            </w:pP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39FABEA0" w:rsidR="00D350BE" w:rsidRDefault="00253FEA" w:rsidP="000A2021">
            <w:pPr>
              <w:rPr>
                <w:sz w:val="18"/>
                <w:szCs w:val="18"/>
              </w:rPr>
            </w:pPr>
            <w:r>
              <w:rPr>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77777777" w:rsidR="00D350BE" w:rsidRDefault="00D350BE" w:rsidP="004B5793">
            <w:pPr>
              <w:jc w:val="center"/>
              <w:rPr>
                <w:sz w:val="18"/>
                <w:szCs w:val="18"/>
              </w:rPr>
            </w:pP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3E02F4CC" w:rsidR="002B6123" w:rsidRDefault="00253FEA" w:rsidP="000E66EA">
            <w:pPr>
              <w:pBdr>
                <w:top w:val="nil"/>
                <w:left w:val="nil"/>
                <w:bottom w:val="nil"/>
                <w:right w:val="nil"/>
                <w:between w:val="nil"/>
              </w:pBdr>
              <w:spacing w:line="227" w:lineRule="auto"/>
              <w:ind w:left="105"/>
              <w:rPr>
                <w:color w:val="000000"/>
                <w:sz w:val="18"/>
                <w:szCs w:val="18"/>
              </w:rPr>
            </w:pPr>
            <w:r>
              <w:t>This protocol was shared on the Open Science Framework prior to initiating the study (https://osf.io/59nw4/)</w:t>
            </w: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1D75A973" w:rsidR="002B6123" w:rsidRDefault="00253FEA" w:rsidP="000E66EA">
            <w:pPr>
              <w:pBdr>
                <w:top w:val="nil"/>
                <w:left w:val="nil"/>
                <w:bottom w:val="nil"/>
                <w:right w:val="nil"/>
                <w:between w:val="nil"/>
              </w:pBdr>
              <w:spacing w:line="227" w:lineRule="auto"/>
              <w:ind w:left="105"/>
              <w:rPr>
                <w:color w:val="000000"/>
                <w:sz w:val="18"/>
                <w:szCs w:val="18"/>
              </w:rPr>
            </w:pPr>
            <w:r>
              <w:t>This protocol was shared on the Open Science Framework prior to initiating the study (https://osf.io/59nw4/)</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1621E0DB" w:rsidR="00F97364" w:rsidRDefault="00253FEA"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4148452E" w:rsidR="00F97364" w:rsidRDefault="00253FEA"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A9E076" w:rsidR="00F97364" w:rsidRDefault="00253FEA"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EED99F1" w:rsidR="00F97364" w:rsidRDefault="00253FEA"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7F950AA6" w:rsidR="00F97364" w:rsidRDefault="00253FEA"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3F4AA0D7" w:rsidR="00F97364" w:rsidRDefault="00253FEA"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52D1197A" w:rsidR="00F97364" w:rsidRDefault="00253FEA"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2112D170" w:rsidR="00F97364" w:rsidRDefault="00253FEA"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2554A79B" w:rsidR="00F97364" w:rsidRDefault="00253FEA"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374464DE" w:rsidR="00F97364" w:rsidRDefault="00253FEA" w:rsidP="00F97364">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192818D6" w:rsidR="002B6123" w:rsidRDefault="00253FEA" w:rsidP="004B5793">
            <w:pPr>
              <w:pBdr>
                <w:top w:val="nil"/>
                <w:left w:val="nil"/>
                <w:bottom w:val="nil"/>
                <w:right w:val="nil"/>
                <w:between w:val="nil"/>
              </w:pBdr>
              <w:spacing w:line="227" w:lineRule="auto"/>
              <w:ind w:left="105"/>
              <w:rPr>
                <w:color w:val="000000"/>
                <w:sz w:val="18"/>
                <w:szCs w:val="18"/>
              </w:rPr>
            </w:pPr>
            <w:r>
              <w:t>This protocol was shared on the Open Science Framework prior to initiating the study (https://osf.io/59nw4/)</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489DE98D" w:rsidR="002B6123" w:rsidRDefault="00253FEA" w:rsidP="004B5793">
            <w:pPr>
              <w:pBdr>
                <w:top w:val="nil"/>
                <w:left w:val="nil"/>
                <w:bottom w:val="nil"/>
                <w:right w:val="nil"/>
                <w:between w:val="nil"/>
              </w:pBdr>
              <w:spacing w:line="227" w:lineRule="auto"/>
              <w:ind w:left="105"/>
              <w:rPr>
                <w:color w:val="000000"/>
                <w:sz w:val="18"/>
                <w:szCs w:val="18"/>
              </w:rPr>
            </w:pPr>
            <w:r>
              <w:rPr>
                <w:color w:val="000000"/>
                <w:sz w:val="18"/>
                <w:szCs w:val="18"/>
              </w:rPr>
              <w:t>Descriptive data without hypothesis testing</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6B209250" w:rsidR="002B6123" w:rsidRDefault="00253FEA" w:rsidP="004B5793">
            <w:pPr>
              <w:pBdr>
                <w:top w:val="nil"/>
                <w:left w:val="nil"/>
                <w:bottom w:val="nil"/>
                <w:right w:val="nil"/>
                <w:between w:val="nil"/>
              </w:pBdr>
              <w:spacing w:line="227" w:lineRule="auto"/>
              <w:ind w:left="105"/>
              <w:rPr>
                <w:color w:val="000000"/>
                <w:sz w:val="18"/>
                <w:szCs w:val="18"/>
              </w:rPr>
            </w:pPr>
            <w:r>
              <w:rPr>
                <w:color w:val="000000"/>
                <w:sz w:val="18"/>
                <w:szCs w:val="18"/>
              </w:rPr>
              <w:t xml:space="preserve">No new data, just synthesis. All data aggregated available. </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119F60CB" w:rsidR="002B6123" w:rsidRDefault="00253FEA" w:rsidP="004B5793">
            <w:pPr>
              <w:pBdr>
                <w:top w:val="nil"/>
                <w:left w:val="nil"/>
                <w:bottom w:val="nil"/>
                <w:right w:val="nil"/>
                <w:between w:val="nil"/>
              </w:pBdr>
              <w:spacing w:line="227" w:lineRule="auto"/>
              <w:ind w:left="105"/>
              <w:rPr>
                <w:color w:val="000000"/>
                <w:sz w:val="18"/>
                <w:szCs w:val="18"/>
              </w:rPr>
            </w:pPr>
            <w:r>
              <w:t>This protocol was shared on the Open Science Framework prior to initiating the study (https://osf.io/59nw4/)</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2A50FBA0" w:rsidR="002B6123" w:rsidRDefault="00253FEA" w:rsidP="004B5793">
            <w:pPr>
              <w:pBdr>
                <w:top w:val="nil"/>
                <w:left w:val="nil"/>
                <w:bottom w:val="nil"/>
                <w:right w:val="nil"/>
                <w:between w:val="nil"/>
              </w:pBdr>
              <w:spacing w:line="227" w:lineRule="auto"/>
              <w:ind w:left="105"/>
              <w:rPr>
                <w:color w:val="000000"/>
                <w:sz w:val="18"/>
                <w:szCs w:val="18"/>
              </w:rPr>
            </w:pPr>
            <w:r>
              <w:t>This protocol was shared on the Open Science Framework prior to initiating the study (https://osf.io/59nw4/)</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372D2AE0" w:rsidR="002B6123" w:rsidRDefault="00253FEA" w:rsidP="004B5793">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609F1964" w:rsidR="002B6123" w:rsidRDefault="00253FEA" w:rsidP="004B5793">
                <w:pPr>
                  <w:pBdr>
                    <w:top w:val="nil"/>
                    <w:left w:val="nil"/>
                    <w:bottom w:val="nil"/>
                    <w:right w:val="nil"/>
                    <w:between w:val="nil"/>
                  </w:pBdr>
                  <w:spacing w:line="227" w:lineRule="auto"/>
                  <w:ind w:left="105"/>
                  <w:rPr>
                    <w:color w:val="000000"/>
                    <w:sz w:val="18"/>
                    <w:szCs w:val="18"/>
                  </w:rPr>
                </w:pPr>
                <w:r>
                  <w:t>NA</w:t>
                </w: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111F8D9B" w:rsidR="002B6123" w:rsidRDefault="00253FEA" w:rsidP="004B5793">
            <w:pPr>
              <w:pBdr>
                <w:top w:val="nil"/>
                <w:left w:val="nil"/>
                <w:bottom w:val="nil"/>
                <w:right w:val="nil"/>
                <w:between w:val="nil"/>
              </w:pBdr>
              <w:spacing w:line="227" w:lineRule="auto"/>
              <w:ind w:left="105"/>
              <w:rPr>
                <w:color w:val="000000"/>
                <w:sz w:val="18"/>
                <w:szCs w:val="18"/>
              </w:rPr>
            </w:pPr>
            <w:r>
              <w:rPr>
                <w:color w:val="000000"/>
                <w:sz w:val="18"/>
                <w:szCs w:val="18"/>
              </w:rPr>
              <w:t>NA</w:t>
            </w: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16F0AF94" w:rsidR="002B6123" w:rsidRDefault="002B6123" w:rsidP="004B5793">
            <w:pPr>
              <w:pBdr>
                <w:top w:val="nil"/>
                <w:left w:val="nil"/>
                <w:bottom w:val="nil"/>
                <w:right w:val="nil"/>
                <w:between w:val="nil"/>
              </w:pBdr>
              <w:spacing w:line="227" w:lineRule="auto"/>
              <w:ind w:left="138"/>
              <w:jc w:val="center"/>
              <w:rPr>
                <w:color w:val="000000"/>
                <w:sz w:val="18"/>
                <w:szCs w:val="18"/>
              </w:rPr>
            </w:pP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02469D77" w:rsidR="00FA6BEC" w:rsidRDefault="00253FEA" w:rsidP="00311DE1">
            <w:pPr>
              <w:pBdr>
                <w:top w:val="nil"/>
                <w:left w:val="nil"/>
                <w:bottom w:val="nil"/>
                <w:right w:val="nil"/>
                <w:between w:val="nil"/>
              </w:pBdr>
              <w:spacing w:line="227" w:lineRule="auto"/>
              <w:ind w:left="102"/>
              <w:rPr>
                <w:color w:val="C00000"/>
                <w:sz w:val="18"/>
                <w:szCs w:val="18"/>
              </w:rPr>
            </w:pPr>
            <w:r>
              <w:rPr>
                <w:color w:val="C00000"/>
                <w:sz w:val="18"/>
                <w:szCs w:val="18"/>
              </w:rPr>
              <w:t>PRISMA-SCR</w:t>
            </w: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77777777" w:rsidR="00FA6BEC" w:rsidRDefault="00FA6BEC" w:rsidP="009969F8">
            <w:pPr>
              <w:pBdr>
                <w:top w:val="nil"/>
                <w:left w:val="nil"/>
                <w:bottom w:val="nil"/>
                <w:right w:val="nil"/>
                <w:between w:val="nil"/>
              </w:pBdr>
              <w:spacing w:line="227" w:lineRule="auto"/>
              <w:ind w:left="102"/>
              <w:jc w:val="center"/>
              <w:rPr>
                <w:color w:val="C00000"/>
                <w:sz w:val="18"/>
                <w:szCs w:val="18"/>
              </w:rPr>
            </w:pP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EAB7A" w14:textId="77777777" w:rsidR="00270456" w:rsidRDefault="00270456">
      <w:r>
        <w:separator/>
      </w:r>
    </w:p>
  </w:endnote>
  <w:endnote w:type="continuationSeparator" w:id="0">
    <w:p w14:paraId="12C23735" w14:textId="77777777" w:rsidR="00270456" w:rsidRDefault="0027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㙀 怀"/>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978E" w14:textId="77777777" w:rsidR="00270456" w:rsidRDefault="00270456">
      <w:r>
        <w:separator/>
      </w:r>
    </w:p>
  </w:footnote>
  <w:footnote w:type="continuationSeparator" w:id="0">
    <w:p w14:paraId="30A714D3" w14:textId="77777777" w:rsidR="00270456" w:rsidRDefault="00270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53FEA"/>
    <w:rsid w:val="00270456"/>
    <w:rsid w:val="002B6123"/>
    <w:rsid w:val="00311DE1"/>
    <w:rsid w:val="0042256C"/>
    <w:rsid w:val="004B5793"/>
    <w:rsid w:val="00673CF2"/>
    <w:rsid w:val="007028FA"/>
    <w:rsid w:val="007247F7"/>
    <w:rsid w:val="00786C61"/>
    <w:rsid w:val="0085040D"/>
    <w:rsid w:val="00907A50"/>
    <w:rsid w:val="00916143"/>
    <w:rsid w:val="009969F8"/>
    <w:rsid w:val="009C3CB0"/>
    <w:rsid w:val="00BB1C80"/>
    <w:rsid w:val="00D25EEA"/>
    <w:rsid w:val="00D350BE"/>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Kelly COBEY</cp:lastModifiedBy>
  <cp:revision>2</cp:revision>
  <dcterms:created xsi:type="dcterms:W3CDTF">2022-10-04T00:25:00Z</dcterms:created>
  <dcterms:modified xsi:type="dcterms:W3CDTF">2022-10-04T00:25:00Z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