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E4D37" w14:textId="5751A934" w:rsidR="00010F50" w:rsidRPr="000D2109" w:rsidRDefault="00B8223C" w:rsidP="00010F50">
      <w:pPr>
        <w:pStyle w:val="Tableheadings"/>
      </w:pPr>
      <w:bookmarkStart w:id="0" w:name="_Toc78411685"/>
      <w:r>
        <w:t>Supplementa</w:t>
      </w:r>
      <w:r w:rsidR="00ED0DF8">
        <w:t>ry</w:t>
      </w:r>
      <w:r>
        <w:t xml:space="preserve"> </w:t>
      </w:r>
      <w:r w:rsidR="00ED0DF8">
        <w:t>File</w:t>
      </w:r>
      <w:r w:rsidR="00AC4637">
        <w:t xml:space="preserve"> 1</w:t>
      </w:r>
      <w:r w:rsidR="00010F50" w:rsidRPr="000D2109">
        <w:t xml:space="preserve">. </w:t>
      </w:r>
      <w:r w:rsidR="00010F50">
        <w:t>Primers and PCR conditions utilized in this study</w:t>
      </w:r>
      <w:r w:rsidR="00010F50" w:rsidRPr="000D2109">
        <w:t>.</w:t>
      </w:r>
      <w:bookmarkEnd w:id="0"/>
    </w:p>
    <w:tbl>
      <w:tblPr>
        <w:tblStyle w:val="TableGrid"/>
        <w:tblW w:w="9265" w:type="dxa"/>
        <w:jc w:val="center"/>
        <w:tblLayout w:type="fixed"/>
        <w:tblLook w:val="04A0" w:firstRow="1" w:lastRow="0" w:firstColumn="1" w:lastColumn="0" w:noHBand="0" w:noVBand="1"/>
      </w:tblPr>
      <w:tblGrid>
        <w:gridCol w:w="1075"/>
        <w:gridCol w:w="3420"/>
        <w:gridCol w:w="3510"/>
        <w:gridCol w:w="1260"/>
      </w:tblGrid>
      <w:tr w:rsidR="00010F50" w14:paraId="6DBB0C85" w14:textId="77777777" w:rsidTr="00B8223C">
        <w:trPr>
          <w:jc w:val="center"/>
        </w:trPr>
        <w:tc>
          <w:tcPr>
            <w:tcW w:w="1075" w:type="dxa"/>
          </w:tcPr>
          <w:p w14:paraId="7874EFFF" w14:textId="77777777" w:rsidR="00010F50" w:rsidRPr="0041383A" w:rsidRDefault="00010F50" w:rsidP="00AC4637">
            <w:pPr>
              <w:spacing w:line="240" w:lineRule="auto"/>
              <w:contextualSpacing/>
              <w:rPr>
                <w:rFonts w:cs="Times New Roman"/>
                <w:b/>
                <w:sz w:val="21"/>
                <w:szCs w:val="21"/>
              </w:rPr>
            </w:pPr>
            <w:r w:rsidRPr="0041383A">
              <w:rPr>
                <w:rFonts w:cs="Times New Roman"/>
                <w:b/>
                <w:sz w:val="21"/>
                <w:szCs w:val="21"/>
              </w:rPr>
              <w:t>Primer</w:t>
            </w:r>
          </w:p>
        </w:tc>
        <w:tc>
          <w:tcPr>
            <w:tcW w:w="3420" w:type="dxa"/>
          </w:tcPr>
          <w:p w14:paraId="3928129B" w14:textId="77777777" w:rsidR="00010F50" w:rsidRPr="0041383A" w:rsidRDefault="00010F50" w:rsidP="00AC4637">
            <w:pPr>
              <w:spacing w:line="240" w:lineRule="auto"/>
              <w:contextualSpacing/>
              <w:rPr>
                <w:rFonts w:cs="Times New Roman"/>
                <w:b/>
                <w:sz w:val="21"/>
                <w:szCs w:val="21"/>
              </w:rPr>
            </w:pPr>
            <w:r w:rsidRPr="0041383A">
              <w:rPr>
                <w:rFonts w:cs="Times New Roman"/>
                <w:b/>
                <w:sz w:val="21"/>
                <w:szCs w:val="21"/>
              </w:rPr>
              <w:t>Forward</w:t>
            </w:r>
          </w:p>
        </w:tc>
        <w:tc>
          <w:tcPr>
            <w:tcW w:w="3510" w:type="dxa"/>
          </w:tcPr>
          <w:p w14:paraId="515E9FA5" w14:textId="77777777" w:rsidR="00010F50" w:rsidRPr="0041383A" w:rsidRDefault="00010F50" w:rsidP="00AC4637">
            <w:pPr>
              <w:spacing w:line="240" w:lineRule="auto"/>
              <w:contextualSpacing/>
              <w:rPr>
                <w:rFonts w:cs="Times New Roman"/>
                <w:b/>
                <w:sz w:val="21"/>
                <w:szCs w:val="21"/>
              </w:rPr>
            </w:pPr>
            <w:r w:rsidRPr="0041383A">
              <w:rPr>
                <w:rFonts w:cs="Times New Roman"/>
                <w:b/>
                <w:sz w:val="21"/>
                <w:szCs w:val="21"/>
              </w:rPr>
              <w:t>Reverse</w:t>
            </w:r>
          </w:p>
        </w:tc>
        <w:tc>
          <w:tcPr>
            <w:tcW w:w="1260" w:type="dxa"/>
          </w:tcPr>
          <w:p w14:paraId="361F66E4" w14:textId="77777777" w:rsidR="00010F50" w:rsidRPr="0041383A" w:rsidRDefault="00010F50" w:rsidP="00AC4637">
            <w:pPr>
              <w:spacing w:line="240" w:lineRule="auto"/>
              <w:contextualSpacing/>
              <w:rPr>
                <w:rFonts w:cs="Times New Roman"/>
                <w:b/>
                <w:sz w:val="21"/>
                <w:szCs w:val="21"/>
              </w:rPr>
            </w:pPr>
            <w:r w:rsidRPr="0041383A">
              <w:rPr>
                <w:rFonts w:cs="Times New Roman"/>
                <w:b/>
                <w:sz w:val="21"/>
                <w:szCs w:val="21"/>
              </w:rPr>
              <w:t>Reference</w:t>
            </w:r>
          </w:p>
        </w:tc>
      </w:tr>
      <w:tr w:rsidR="00010F50" w14:paraId="0C85891B" w14:textId="77777777" w:rsidTr="00B8223C">
        <w:trPr>
          <w:trHeight w:val="152"/>
          <w:jc w:val="center"/>
        </w:trPr>
        <w:tc>
          <w:tcPr>
            <w:tcW w:w="9265" w:type="dxa"/>
            <w:gridSpan w:val="4"/>
            <w:vAlign w:val="center"/>
          </w:tcPr>
          <w:p w14:paraId="3BDC4666" w14:textId="77777777" w:rsidR="00010F50" w:rsidRPr="0041383A" w:rsidRDefault="00010F50" w:rsidP="00AC4637">
            <w:pPr>
              <w:spacing w:line="240" w:lineRule="auto"/>
              <w:contextualSpacing/>
              <w:rPr>
                <w:rFonts w:cs="Times New Roman"/>
                <w:b/>
              </w:rPr>
            </w:pPr>
            <w:r w:rsidRPr="0041383A">
              <w:rPr>
                <w:rFonts w:cs="Times New Roman"/>
                <w:b/>
              </w:rPr>
              <w:t xml:space="preserve">Mouse </w:t>
            </w:r>
            <w:proofErr w:type="spellStart"/>
            <w:r w:rsidRPr="0041383A">
              <w:rPr>
                <w:rFonts w:cs="Times New Roman"/>
                <w:b/>
              </w:rPr>
              <w:t>qRT</w:t>
            </w:r>
            <w:proofErr w:type="spellEnd"/>
            <w:r w:rsidRPr="0041383A">
              <w:rPr>
                <w:rFonts w:cs="Times New Roman"/>
                <w:b/>
              </w:rPr>
              <w:t xml:space="preserve">-PCR primers </w:t>
            </w:r>
          </w:p>
        </w:tc>
      </w:tr>
      <w:tr w:rsidR="00010F50" w14:paraId="30CC80A1" w14:textId="77777777" w:rsidTr="00B8223C">
        <w:trPr>
          <w:jc w:val="center"/>
        </w:trPr>
        <w:tc>
          <w:tcPr>
            <w:tcW w:w="1075" w:type="dxa"/>
            <w:vAlign w:val="center"/>
          </w:tcPr>
          <w:p w14:paraId="79E9804F" w14:textId="77777777" w:rsidR="00010F50" w:rsidRPr="0041383A" w:rsidRDefault="00010F50" w:rsidP="00AC4637">
            <w:pPr>
              <w:spacing w:line="240" w:lineRule="auto"/>
              <w:contextualSpacing/>
              <w:rPr>
                <w:rFonts w:cs="Times New Roman"/>
                <w:i/>
                <w:iCs/>
                <w:sz w:val="20"/>
                <w:szCs w:val="20"/>
              </w:rPr>
            </w:pPr>
            <w:proofErr w:type="spellStart"/>
            <w:r w:rsidRPr="0041383A">
              <w:rPr>
                <w:rFonts w:cs="Times New Roman"/>
                <w:i/>
                <w:iCs/>
                <w:sz w:val="20"/>
                <w:szCs w:val="20"/>
              </w:rPr>
              <w:t>Arbp</w:t>
            </w:r>
            <w:proofErr w:type="spellEnd"/>
          </w:p>
        </w:tc>
        <w:tc>
          <w:tcPr>
            <w:tcW w:w="3420" w:type="dxa"/>
            <w:vAlign w:val="center"/>
          </w:tcPr>
          <w:p w14:paraId="0DEC5D0D" w14:textId="77777777" w:rsidR="00010F50" w:rsidRPr="0041383A" w:rsidRDefault="00010F50" w:rsidP="00AC4637">
            <w:pPr>
              <w:pStyle w:val="NormalWeb"/>
              <w:spacing w:line="240" w:lineRule="auto"/>
              <w:rPr>
                <w:sz w:val="18"/>
                <w:szCs w:val="18"/>
              </w:rPr>
            </w:pPr>
            <w:r w:rsidRPr="0041383A">
              <w:rPr>
                <w:sz w:val="18"/>
                <w:szCs w:val="18"/>
              </w:rPr>
              <w:t xml:space="preserve">TCCCACTTACTGAAAAGGTCAAG </w:t>
            </w:r>
          </w:p>
        </w:tc>
        <w:tc>
          <w:tcPr>
            <w:tcW w:w="3510" w:type="dxa"/>
            <w:vAlign w:val="center"/>
          </w:tcPr>
          <w:p w14:paraId="3FBA630F" w14:textId="77777777" w:rsidR="00010F50" w:rsidRPr="0041383A" w:rsidRDefault="00010F50" w:rsidP="00AC4637">
            <w:pPr>
              <w:pStyle w:val="NormalWeb"/>
              <w:spacing w:line="240" w:lineRule="auto"/>
              <w:rPr>
                <w:sz w:val="18"/>
                <w:szCs w:val="18"/>
              </w:rPr>
            </w:pPr>
            <w:r w:rsidRPr="0041383A">
              <w:rPr>
                <w:sz w:val="18"/>
                <w:szCs w:val="18"/>
              </w:rPr>
              <w:t xml:space="preserve">TCCGACTCTTCCTTTGCTTC </w:t>
            </w:r>
          </w:p>
        </w:tc>
        <w:tc>
          <w:tcPr>
            <w:tcW w:w="1260" w:type="dxa"/>
          </w:tcPr>
          <w:p w14:paraId="6C771E26" w14:textId="2AB4FB67" w:rsidR="00010F50" w:rsidRPr="0041383A" w:rsidRDefault="00010F50" w:rsidP="00AC4637">
            <w:pPr>
              <w:spacing w:line="240" w:lineRule="auto"/>
              <w:contextualSpacing/>
              <w:rPr>
                <w:rFonts w:cs="Times New Roman"/>
                <w:sz w:val="20"/>
                <w:szCs w:val="20"/>
              </w:rPr>
            </w:pPr>
            <w:r>
              <w:rPr>
                <w:rFonts w:cs="Times New Roman"/>
                <w:sz w:val="20"/>
                <w:szCs w:val="20"/>
              </w:rPr>
              <w:fldChar w:fldCharType="begin" w:fldLock="1"/>
            </w:r>
            <w:r w:rsidR="007731DA">
              <w:rPr>
                <w:rFonts w:cs="Times New Roman"/>
                <w:sz w:val="20"/>
                <w:szCs w:val="20"/>
              </w:rPr>
              <w:instrText>ADDIN CSL_CITATION {"citationItems":[{"id":"ITEM-1","itemData":{"DOI":"10.1073/pnas.1603066113","ISSN":"10916490","abstract":"Genomic imprinting affects a subset of genes in mammals, such that they are expressed in a monoallelic, parent-of-origin-specific manner. These genes are regulated by imprinting control regions (ICRs), cis-regulatory elements that exhibit allele-specific differential DNA methylation. Although genomic imprinting is conserved in mammals, ICRs are genetically divergent across species. This raises the fundamental question of whether the ICR plays a species-specific role in regulating imprinting at a given locus. We addressed this question at the H19/insulin-like growth factor 2 (Igf2) imprinted locus, the misregulation of which is associated with the human imprinting disorders Beckwith-Wiedemann syndrome (BWS) and Silver-Russell syndrome (SRS). We generated a knock-in mouse in which the endogenous H19/Igf2 ICR (mIC1) is replaced by the orthologous human ICR (hIC1) sequence, designated H19hIC1 . We show that hIC1 can functionally replace mIC1 on the maternal allele. In contrast, paternally transmitted hIC1 leads to growth restriction, abnormal hIC1 methylation, and loss of H19 and Igf2 imprinted expression. Imprint establishment at hIC1 is impaired in the male germ line, which is associated with an abnormal composition of histone posttranslational modifications compared with mIC1. Overall, this study reveals evolutionarily divergent paternal imprinting at IC1 between mice and humans. The conserved maternal imprinting mechanism and function at IC1 demonstrates the possibility of modeling maternal transmission of hIC1 mutations associated with BWS in mice. In addition, we propose that further analyses in the paternal knockin H19+/hIC1 mice will elucidate the molecular mechanisms that may underlie SRS.","author":[{"dropping-particle":"","family":"Hur","given":"Stella K.","non-dropping-particle":"","parse-names":false,"suffix":""},{"dropping-particle":"","family":"Freschi","given":"Andrea","non-dropping-particle":"","parse-names":false,"suffix":""},{"dropping-particle":"","family":"Ideraabdullah","given":"Folami","non-dropping-particle":"","parse-names":false,"suffix":""},{"dropping-particle":"","family":"Thorvaldsen","given":"Joanne L.","non-dropping-particle":"","parse-names":false,"suffix":""},{"dropping-particle":"","family":"Luense","given":"Lacey J.","non-dropping-particle":"","parse-names":false,"suffix":""},{"dropping-particle":"","family":"Weller","given":"Angela H.","non-dropping-particle":"","parse-names":false,"suffix":""},{"dropping-particle":"","family":"Berger","given":"Shelley L.","non-dropping-particle":"","parse-names":false,"suffix":""},{"dropping-particle":"","family":"Cerrato","given":"Flavia","non-dropping-particle":"","parse-names":false,"suffix":""},{"dropping-particle":"","family":"Riccio","given":"Andrea","non-dropping-particle":"","parse-names":false,"suffix":""},{"dropping-particle":"","family":"Bartolomei","given":"Marisa S.","non-dropping-particle":"","parse-names":false,"suffix":""}],"container-title":"Proceedings of the National Academy of Sciences of the United States of America","id":"ITEM-1","issued":{"date-parts":[["2016"]]},"title":"Humanized H19/Igf2 locus reveals diverged imprinting mechanism between mouse and human and reflects Silver-Russell syndrome phenotypes","type":"article-journal"},"uris":["http://www.mendeley.com/documents/?uuid=151754c5-18fa-4c8a-8d84-fad78453b532"]}],"mendeley":{"formattedCitation":"(Hur et al., 2016)","plainTextFormattedCitation":"(Hur et al., 2016)","previouslyFormattedCitation":"(Hur et al., 2016)"},"properties":{"noteIndex":0},"schema":"https://github.com/citation-style-language/schema/raw/master/csl-citation.json"}</w:instrText>
            </w:r>
            <w:r>
              <w:rPr>
                <w:rFonts w:cs="Times New Roman"/>
                <w:sz w:val="20"/>
                <w:szCs w:val="20"/>
              </w:rPr>
              <w:fldChar w:fldCharType="separate"/>
            </w:r>
            <w:r w:rsidR="00E74036" w:rsidRPr="00E74036">
              <w:rPr>
                <w:rFonts w:cs="Times New Roman"/>
                <w:noProof/>
                <w:sz w:val="20"/>
                <w:szCs w:val="20"/>
              </w:rPr>
              <w:t>(Hur et al., 2016)</w:t>
            </w:r>
            <w:r>
              <w:rPr>
                <w:rFonts w:cs="Times New Roman"/>
                <w:sz w:val="20"/>
                <w:szCs w:val="20"/>
              </w:rPr>
              <w:fldChar w:fldCharType="end"/>
            </w:r>
          </w:p>
        </w:tc>
      </w:tr>
      <w:tr w:rsidR="00010F50" w14:paraId="67C1736A" w14:textId="77777777" w:rsidTr="00B8223C">
        <w:trPr>
          <w:trHeight w:val="431"/>
          <w:jc w:val="center"/>
        </w:trPr>
        <w:tc>
          <w:tcPr>
            <w:tcW w:w="1075" w:type="dxa"/>
            <w:vAlign w:val="center"/>
          </w:tcPr>
          <w:p w14:paraId="306F7ED3" w14:textId="77777777" w:rsidR="00010F50" w:rsidRPr="0041383A" w:rsidRDefault="00010F50" w:rsidP="00AC4637">
            <w:pPr>
              <w:spacing w:line="240" w:lineRule="auto"/>
              <w:contextualSpacing/>
              <w:rPr>
                <w:rFonts w:cs="Times New Roman"/>
                <w:i/>
                <w:iCs/>
                <w:sz w:val="20"/>
                <w:szCs w:val="20"/>
              </w:rPr>
            </w:pPr>
            <w:proofErr w:type="spellStart"/>
            <w:r w:rsidRPr="0041383A">
              <w:rPr>
                <w:rFonts w:cs="Times New Roman"/>
                <w:i/>
                <w:iCs/>
                <w:sz w:val="20"/>
                <w:szCs w:val="20"/>
              </w:rPr>
              <w:t>Nono</w:t>
            </w:r>
            <w:proofErr w:type="spellEnd"/>
          </w:p>
        </w:tc>
        <w:tc>
          <w:tcPr>
            <w:tcW w:w="3420" w:type="dxa"/>
            <w:vAlign w:val="center"/>
          </w:tcPr>
          <w:p w14:paraId="4061326E" w14:textId="77777777" w:rsidR="00010F50" w:rsidRPr="0041383A" w:rsidRDefault="00010F50" w:rsidP="00AC4637">
            <w:pPr>
              <w:pStyle w:val="NormalWeb"/>
              <w:spacing w:line="240" w:lineRule="auto"/>
              <w:rPr>
                <w:sz w:val="18"/>
                <w:szCs w:val="18"/>
              </w:rPr>
            </w:pPr>
            <w:r w:rsidRPr="0041383A">
              <w:rPr>
                <w:sz w:val="18"/>
                <w:szCs w:val="18"/>
              </w:rPr>
              <w:t xml:space="preserve">GCTCGTGAGAAGCTGGAGAT </w:t>
            </w:r>
          </w:p>
        </w:tc>
        <w:tc>
          <w:tcPr>
            <w:tcW w:w="3510" w:type="dxa"/>
            <w:vAlign w:val="center"/>
          </w:tcPr>
          <w:p w14:paraId="6BD86E44" w14:textId="77777777" w:rsidR="00010F50" w:rsidRPr="0041383A" w:rsidRDefault="00010F50" w:rsidP="00AC4637">
            <w:pPr>
              <w:pStyle w:val="NormalWeb"/>
              <w:spacing w:line="240" w:lineRule="auto"/>
              <w:rPr>
                <w:sz w:val="18"/>
                <w:szCs w:val="18"/>
              </w:rPr>
            </w:pPr>
            <w:r w:rsidRPr="0041383A">
              <w:rPr>
                <w:sz w:val="18"/>
                <w:szCs w:val="18"/>
              </w:rPr>
              <w:t xml:space="preserve">TTCTTGACGTCTCATCAAATCC </w:t>
            </w:r>
          </w:p>
        </w:tc>
        <w:tc>
          <w:tcPr>
            <w:tcW w:w="1260" w:type="dxa"/>
            <w:vMerge w:val="restart"/>
          </w:tcPr>
          <w:p w14:paraId="690B0B68" w14:textId="4E39273E" w:rsidR="00010F50" w:rsidRPr="0041383A" w:rsidRDefault="00010F50" w:rsidP="00AC4637">
            <w:pPr>
              <w:spacing w:line="240" w:lineRule="auto"/>
              <w:contextualSpacing/>
              <w:rPr>
                <w:rFonts w:cs="Times New Roman"/>
                <w:sz w:val="20"/>
                <w:szCs w:val="20"/>
              </w:rPr>
            </w:pPr>
            <w:r w:rsidRPr="0041383A">
              <w:rPr>
                <w:rFonts w:cs="Times New Roman"/>
                <w:sz w:val="20"/>
                <w:szCs w:val="20"/>
              </w:rPr>
              <w:fldChar w:fldCharType="begin" w:fldLock="1"/>
            </w:r>
            <w:r w:rsidR="007731DA">
              <w:rPr>
                <w:rFonts w:cs="Times New Roman"/>
                <w:sz w:val="20"/>
                <w:szCs w:val="20"/>
              </w:rPr>
              <w:instrText>ADDIN CSL_CITATION {"citationItems":[{"id":"ITEM-1","itemData":{"DOI":"10.1242/dev.101428","ISSN":"14779129","abstract":"Genes that are subject to genomic imprinting in mammals are preferentially expressed from a single parental allele. This imprinted expression of a small number of genes is crucial for normal development, as these genes often directly regulate fetal growth. Recent work has also demonstrated intricate roles for imprinted genes in the brain, with important consequences on behavior and neuronal function. Finally, new studies have revealed the importance of proper expression of specific imprinted genes in induced pluripotent stem cells and in adult stem cells. As we review here, these findings highlight the complex nature and developmental importance of imprinted genes. © 2014. Published by The Company of Biologists Ltd.","author":[{"dropping-particle":"","family":"Plasschaert","given":"Robert N.","non-dropping-particle":"","parse-names":false,"suffix":""},{"dropping-particle":"","family":"Bartolomei","given":"Marisa S.","non-dropping-particle":"","parse-names":false,"suffix":""}],"container-title":"Development (Cambridge)","id":"ITEM-1","issued":{"date-parts":[["2014"]]},"title":"Genomic imprinting in development, growth, behavior and stem cells","type":"article"},"uris":["http://www.mendeley.com/documents/?uuid=9ad068a6-3f76-451f-9089-d8e457428fac"]}],"mendeley":{"formattedCitation":"(Plasschaert &amp; Bartolomei, 2014)","plainTextFormattedCitation":"(Plasschaert &amp; Bartolomei, 2014)","previouslyFormattedCitation":"(Plasschaert &amp; Bartolomei, 2014)"},"properties":{"noteIndex":0},"schema":"https://github.com/citation-style-language/schema/raw/master/csl-citation.json"}</w:instrText>
            </w:r>
            <w:r w:rsidRPr="0041383A">
              <w:rPr>
                <w:rFonts w:cs="Times New Roman"/>
                <w:sz w:val="20"/>
                <w:szCs w:val="20"/>
              </w:rPr>
              <w:fldChar w:fldCharType="separate"/>
            </w:r>
            <w:r w:rsidR="00E74036" w:rsidRPr="00E74036">
              <w:rPr>
                <w:rFonts w:cs="Times New Roman"/>
                <w:noProof/>
                <w:sz w:val="20"/>
                <w:szCs w:val="20"/>
              </w:rPr>
              <w:t>(Plasschaert &amp; Bartolomei, 2014)</w:t>
            </w:r>
            <w:r w:rsidRPr="0041383A">
              <w:rPr>
                <w:rFonts w:cs="Times New Roman"/>
                <w:sz w:val="20"/>
                <w:szCs w:val="20"/>
              </w:rPr>
              <w:fldChar w:fldCharType="end"/>
            </w:r>
          </w:p>
        </w:tc>
      </w:tr>
      <w:tr w:rsidR="00010F50" w14:paraId="214EDC4B" w14:textId="77777777" w:rsidTr="00B8223C">
        <w:trPr>
          <w:jc w:val="center"/>
        </w:trPr>
        <w:tc>
          <w:tcPr>
            <w:tcW w:w="1075" w:type="dxa"/>
            <w:vAlign w:val="center"/>
          </w:tcPr>
          <w:p w14:paraId="03759329" w14:textId="77777777" w:rsidR="00010F50" w:rsidRPr="0041383A" w:rsidRDefault="00010F50" w:rsidP="00AC4637">
            <w:pPr>
              <w:spacing w:line="240" w:lineRule="auto"/>
              <w:contextualSpacing/>
              <w:rPr>
                <w:rFonts w:cs="Times New Roman"/>
                <w:i/>
                <w:iCs/>
                <w:sz w:val="20"/>
                <w:szCs w:val="20"/>
              </w:rPr>
            </w:pPr>
            <w:r w:rsidRPr="0041383A">
              <w:rPr>
                <w:rFonts w:cs="Times New Roman"/>
                <w:i/>
                <w:iCs/>
                <w:sz w:val="20"/>
                <w:szCs w:val="20"/>
              </w:rPr>
              <w:t>Rpl13a</w:t>
            </w:r>
          </w:p>
        </w:tc>
        <w:tc>
          <w:tcPr>
            <w:tcW w:w="3420" w:type="dxa"/>
            <w:vAlign w:val="center"/>
          </w:tcPr>
          <w:p w14:paraId="509B43B7" w14:textId="77777777" w:rsidR="00010F50" w:rsidRPr="0041383A" w:rsidRDefault="00010F50" w:rsidP="00AC4637">
            <w:pPr>
              <w:pStyle w:val="NormalWeb"/>
              <w:spacing w:line="240" w:lineRule="auto"/>
              <w:rPr>
                <w:sz w:val="18"/>
                <w:szCs w:val="18"/>
              </w:rPr>
            </w:pPr>
            <w:r w:rsidRPr="0041383A">
              <w:rPr>
                <w:sz w:val="18"/>
                <w:szCs w:val="18"/>
              </w:rPr>
              <w:t xml:space="preserve">ATCCCTCCACCCTATGACAA </w:t>
            </w:r>
          </w:p>
        </w:tc>
        <w:tc>
          <w:tcPr>
            <w:tcW w:w="3510" w:type="dxa"/>
            <w:vAlign w:val="center"/>
          </w:tcPr>
          <w:p w14:paraId="6F81A9AE" w14:textId="77777777" w:rsidR="00010F50" w:rsidRPr="0041383A" w:rsidRDefault="00010F50" w:rsidP="00AC4637">
            <w:pPr>
              <w:pStyle w:val="NormalWeb"/>
              <w:spacing w:line="240" w:lineRule="auto"/>
              <w:rPr>
                <w:sz w:val="18"/>
                <w:szCs w:val="18"/>
              </w:rPr>
            </w:pPr>
            <w:r w:rsidRPr="0041383A">
              <w:rPr>
                <w:sz w:val="18"/>
                <w:szCs w:val="18"/>
              </w:rPr>
              <w:t xml:space="preserve">GCCCCAGGTAAGCAAACTT </w:t>
            </w:r>
          </w:p>
        </w:tc>
        <w:tc>
          <w:tcPr>
            <w:tcW w:w="1260" w:type="dxa"/>
            <w:vMerge/>
          </w:tcPr>
          <w:p w14:paraId="5C576F1F" w14:textId="77777777" w:rsidR="00010F50" w:rsidRPr="0041383A" w:rsidRDefault="00010F50" w:rsidP="00AC4637">
            <w:pPr>
              <w:spacing w:line="240" w:lineRule="auto"/>
              <w:contextualSpacing/>
              <w:rPr>
                <w:rFonts w:cs="Times New Roman"/>
                <w:sz w:val="20"/>
                <w:szCs w:val="20"/>
              </w:rPr>
            </w:pPr>
          </w:p>
        </w:tc>
      </w:tr>
      <w:tr w:rsidR="00010F50" w14:paraId="739F1A59" w14:textId="77777777" w:rsidTr="00B8223C">
        <w:trPr>
          <w:jc w:val="center"/>
        </w:trPr>
        <w:tc>
          <w:tcPr>
            <w:tcW w:w="1075" w:type="dxa"/>
            <w:vAlign w:val="center"/>
          </w:tcPr>
          <w:p w14:paraId="6965EF87" w14:textId="77777777" w:rsidR="00010F50" w:rsidRPr="0041383A" w:rsidRDefault="00010F50" w:rsidP="00AC4637">
            <w:pPr>
              <w:spacing w:line="240" w:lineRule="auto"/>
              <w:contextualSpacing/>
              <w:rPr>
                <w:rFonts w:cs="Times New Roman"/>
                <w:i/>
                <w:iCs/>
                <w:sz w:val="20"/>
                <w:szCs w:val="20"/>
              </w:rPr>
            </w:pPr>
            <w:r w:rsidRPr="0041383A">
              <w:rPr>
                <w:rFonts w:cs="Times New Roman"/>
                <w:i/>
                <w:iCs/>
                <w:sz w:val="20"/>
                <w:szCs w:val="20"/>
              </w:rPr>
              <w:t>H19</w:t>
            </w:r>
          </w:p>
        </w:tc>
        <w:tc>
          <w:tcPr>
            <w:tcW w:w="3420" w:type="dxa"/>
            <w:vAlign w:val="center"/>
          </w:tcPr>
          <w:p w14:paraId="06A2F66C" w14:textId="77777777" w:rsidR="00010F50" w:rsidRPr="0041383A" w:rsidRDefault="00010F50" w:rsidP="00AC4637">
            <w:pPr>
              <w:pStyle w:val="NormalWeb"/>
              <w:spacing w:line="240" w:lineRule="auto"/>
              <w:rPr>
                <w:sz w:val="18"/>
                <w:szCs w:val="18"/>
              </w:rPr>
            </w:pPr>
            <w:r w:rsidRPr="0041383A">
              <w:rPr>
                <w:sz w:val="18"/>
                <w:szCs w:val="18"/>
              </w:rPr>
              <w:t xml:space="preserve">GTCTCGAAGAGCTCGGACTG </w:t>
            </w:r>
          </w:p>
        </w:tc>
        <w:tc>
          <w:tcPr>
            <w:tcW w:w="3510" w:type="dxa"/>
            <w:vAlign w:val="center"/>
          </w:tcPr>
          <w:p w14:paraId="34D441AF" w14:textId="77777777" w:rsidR="00010F50" w:rsidRPr="0041383A" w:rsidRDefault="00010F50" w:rsidP="00AC4637">
            <w:pPr>
              <w:pStyle w:val="NormalWeb"/>
              <w:spacing w:line="240" w:lineRule="auto"/>
              <w:rPr>
                <w:sz w:val="18"/>
                <w:szCs w:val="18"/>
              </w:rPr>
            </w:pPr>
            <w:r w:rsidRPr="0041383A">
              <w:rPr>
                <w:sz w:val="18"/>
                <w:szCs w:val="18"/>
              </w:rPr>
              <w:t xml:space="preserve">ACTGGCAGGCACATCCAC </w:t>
            </w:r>
          </w:p>
        </w:tc>
        <w:tc>
          <w:tcPr>
            <w:tcW w:w="1260" w:type="dxa"/>
          </w:tcPr>
          <w:p w14:paraId="4DE8B61B" w14:textId="7A036038" w:rsidR="00010F50" w:rsidRPr="0041383A" w:rsidRDefault="00010F50" w:rsidP="00AC4637">
            <w:pPr>
              <w:spacing w:line="240" w:lineRule="auto"/>
              <w:contextualSpacing/>
              <w:rPr>
                <w:rFonts w:cs="Times New Roman"/>
                <w:sz w:val="20"/>
                <w:szCs w:val="20"/>
              </w:rPr>
            </w:pPr>
            <w:r>
              <w:rPr>
                <w:rFonts w:cs="Times New Roman"/>
                <w:sz w:val="20"/>
                <w:szCs w:val="20"/>
              </w:rPr>
              <w:fldChar w:fldCharType="begin" w:fldLock="1"/>
            </w:r>
            <w:r w:rsidR="007731DA">
              <w:rPr>
                <w:rFonts w:cs="Times New Roman"/>
                <w:sz w:val="20"/>
                <w:szCs w:val="20"/>
              </w:rPr>
              <w:instrText>ADDIN CSL_CITATION {"citationItems":[{"id":"ITEM-1","itemData":{"DOI":"10.1073/pnas.1603066113","ISSN":"10916490","abstract":"Genomic imprinting affects a subset of genes in mammals, such that they are expressed in a monoallelic, parent-of-origin-specific manner. These genes are regulated by imprinting control regions (ICRs), cis-regulatory elements that exhibit allele-specific differential DNA methylation. Although genomic imprinting is conserved in mammals, ICRs are genetically divergent across species. This raises the fundamental question of whether the ICR plays a species-specific role in regulating imprinting at a given locus. We addressed this question at the H19/insulin-like growth factor 2 (Igf2) imprinted locus, the misregulation of which is associated with the human imprinting disorders Beckwith-Wiedemann syndrome (BWS) and Silver-Russell syndrome (SRS). We generated a knock-in mouse in which the endogenous H19/Igf2 ICR (mIC1) is replaced by the orthologous human ICR (hIC1) sequence, designated H19hIC1 . We show that hIC1 can functionally replace mIC1 on the maternal allele. In contrast, paternally transmitted hIC1 leads to growth restriction, abnormal hIC1 methylation, and loss of H19 and Igf2 imprinted expression. Imprint establishment at hIC1 is impaired in the male germ line, which is associated with an abnormal composition of histone posttranslational modifications compared with mIC1. Overall, this study reveals evolutionarily divergent paternal imprinting at IC1 between mice and humans. The conserved maternal imprinting mechanism and function at IC1 demonstrates the possibility of modeling maternal transmission of hIC1 mutations associated with BWS in mice. In addition, we propose that further analyses in the paternal knockin H19+/hIC1 mice will elucidate the molecular mechanisms that may underlie SRS.","author":[{"dropping-particle":"","family":"Hur","given":"Stella K.","non-dropping-particle":"","parse-names":false,"suffix":""},{"dropping-particle":"","family":"Freschi","given":"Andrea","non-dropping-particle":"","parse-names":false,"suffix":""},{"dropping-particle":"","family":"Ideraabdullah","given":"Folami","non-dropping-particle":"","parse-names":false,"suffix":""},{"dropping-particle":"","family":"Thorvaldsen","given":"Joanne L.","non-dropping-particle":"","parse-names":false,"suffix":""},{"dropping-particle":"","family":"Luense","given":"Lacey J.","non-dropping-particle":"","parse-names":false,"suffix":""},{"dropping-particle":"","family":"Weller","given":"Angela H.","non-dropping-particle":"","parse-names":false,"suffix":""},{"dropping-particle":"","family":"Berger","given":"Shelley L.","non-dropping-particle":"","parse-names":false,"suffix":""},{"dropping-particle":"","family":"Cerrato","given":"Flavia","non-dropping-particle":"","parse-names":false,"suffix":""},{"dropping-particle":"","family":"Riccio","given":"Andrea","non-dropping-particle":"","parse-names":false,"suffix":""},{"dropping-particle":"","family":"Bartolomei","given":"Marisa S.","non-dropping-particle":"","parse-names":false,"suffix":""}],"container-title":"Proceedings of the National Academy of Sciences of the United States of America","id":"ITEM-1","issued":{"date-parts":[["2016"]]},"title":"Humanized H19/Igf2 locus reveals diverged imprinting mechanism between mouse and human and reflects Silver-Russell syndrome phenotypes","type":"article-journal"},"uris":["http://www.mendeley.com/documents/?uuid=151754c5-18fa-4c8a-8d84-fad78453b532"]}],"mendeley":{"formattedCitation":"(Hur et al., 2016)","plainTextFormattedCitation":"(Hur et al., 2016)","previouslyFormattedCitation":"(Hur et al., 2016)"},"properties":{"noteIndex":0},"schema":"https://github.com/citation-style-language/schema/raw/master/csl-citation.json"}</w:instrText>
            </w:r>
            <w:r>
              <w:rPr>
                <w:rFonts w:cs="Times New Roman"/>
                <w:sz w:val="20"/>
                <w:szCs w:val="20"/>
              </w:rPr>
              <w:fldChar w:fldCharType="separate"/>
            </w:r>
            <w:r w:rsidR="00E74036" w:rsidRPr="00E74036">
              <w:rPr>
                <w:rFonts w:cs="Times New Roman"/>
                <w:noProof/>
                <w:sz w:val="20"/>
                <w:szCs w:val="20"/>
              </w:rPr>
              <w:t>(Hur et al., 2016)</w:t>
            </w:r>
            <w:r>
              <w:rPr>
                <w:rFonts w:cs="Times New Roman"/>
                <w:sz w:val="20"/>
                <w:szCs w:val="20"/>
              </w:rPr>
              <w:fldChar w:fldCharType="end"/>
            </w:r>
          </w:p>
        </w:tc>
      </w:tr>
      <w:tr w:rsidR="00010F50" w14:paraId="0369BE8B" w14:textId="77777777" w:rsidTr="00B8223C">
        <w:trPr>
          <w:jc w:val="center"/>
        </w:trPr>
        <w:tc>
          <w:tcPr>
            <w:tcW w:w="1075" w:type="dxa"/>
            <w:vAlign w:val="center"/>
          </w:tcPr>
          <w:p w14:paraId="39C2C1CB" w14:textId="77777777" w:rsidR="00010F50" w:rsidRPr="0041383A" w:rsidRDefault="00010F50" w:rsidP="00AC4637">
            <w:pPr>
              <w:spacing w:line="240" w:lineRule="auto"/>
              <w:contextualSpacing/>
              <w:rPr>
                <w:rFonts w:cs="Times New Roman"/>
                <w:i/>
                <w:iCs/>
                <w:sz w:val="20"/>
                <w:szCs w:val="20"/>
              </w:rPr>
            </w:pPr>
            <w:r w:rsidRPr="0041383A">
              <w:rPr>
                <w:rFonts w:cs="Times New Roman"/>
                <w:i/>
                <w:iCs/>
                <w:sz w:val="20"/>
                <w:szCs w:val="20"/>
              </w:rPr>
              <w:t>Igf2</w:t>
            </w:r>
          </w:p>
        </w:tc>
        <w:tc>
          <w:tcPr>
            <w:tcW w:w="3420" w:type="dxa"/>
            <w:vAlign w:val="center"/>
          </w:tcPr>
          <w:p w14:paraId="7F914D27" w14:textId="77777777" w:rsidR="00010F50" w:rsidRPr="0041383A" w:rsidRDefault="00010F50" w:rsidP="00AC4637">
            <w:pPr>
              <w:pStyle w:val="NormalWeb"/>
              <w:spacing w:line="240" w:lineRule="auto"/>
              <w:rPr>
                <w:sz w:val="18"/>
                <w:szCs w:val="18"/>
              </w:rPr>
            </w:pPr>
            <w:r w:rsidRPr="0041383A">
              <w:rPr>
                <w:sz w:val="18"/>
                <w:szCs w:val="18"/>
              </w:rPr>
              <w:t xml:space="preserve">CGCTTCAGTTTGTCTGTTCG </w:t>
            </w:r>
          </w:p>
        </w:tc>
        <w:tc>
          <w:tcPr>
            <w:tcW w:w="3510" w:type="dxa"/>
            <w:vAlign w:val="center"/>
          </w:tcPr>
          <w:p w14:paraId="0449CB28" w14:textId="77777777" w:rsidR="00010F50" w:rsidRPr="0041383A" w:rsidRDefault="00010F50" w:rsidP="00AC4637">
            <w:pPr>
              <w:pStyle w:val="NormalWeb"/>
              <w:spacing w:line="240" w:lineRule="auto"/>
              <w:rPr>
                <w:sz w:val="18"/>
                <w:szCs w:val="18"/>
              </w:rPr>
            </w:pPr>
            <w:r w:rsidRPr="0041383A">
              <w:rPr>
                <w:sz w:val="18"/>
                <w:szCs w:val="18"/>
              </w:rPr>
              <w:t xml:space="preserve">GCAGCACTCTTCCACGATG </w:t>
            </w:r>
          </w:p>
        </w:tc>
        <w:tc>
          <w:tcPr>
            <w:tcW w:w="1260" w:type="dxa"/>
          </w:tcPr>
          <w:p w14:paraId="1E0365EC" w14:textId="44093D19" w:rsidR="00010F50" w:rsidRPr="0041383A" w:rsidRDefault="00010F50" w:rsidP="00AC4637">
            <w:pPr>
              <w:spacing w:line="240" w:lineRule="auto"/>
              <w:contextualSpacing/>
              <w:rPr>
                <w:rFonts w:cs="Times New Roman"/>
                <w:sz w:val="20"/>
                <w:szCs w:val="20"/>
              </w:rPr>
            </w:pPr>
            <w:r w:rsidRPr="0041383A">
              <w:rPr>
                <w:rFonts w:cs="Times New Roman"/>
                <w:sz w:val="20"/>
                <w:szCs w:val="20"/>
              </w:rPr>
              <w:fldChar w:fldCharType="begin" w:fldLock="1"/>
            </w:r>
            <w:r w:rsidR="00330D7B">
              <w:rPr>
                <w:rFonts w:cs="Times New Roman"/>
                <w:sz w:val="20"/>
                <w:szCs w:val="20"/>
              </w:rPr>
              <w:instrText>ADDIN CSL_CITATION {"citationItems":[{"id":"ITEM-1","itemData":{"DOI":"10.1007/s00335-009-9225-2","ISSN":"09388990","abstract":"Imprinted genes are epigenetically regulated so that only one allele is expressed in a parent-of-origin-dependent manner. Although they represent a small subset of the mammalian genome, imprinted genes are essential for normal development. The regulatory mechanisms underlying imprinting are complex and have been the subject of extensive investigation. DNA methylation is the best-established epigenetic mark that is critical for the allele-specific expression of imprinted genes. This mark must be correctly established in the germline, maintained throughout life, and erased and reestablished in the germline the next generation. These events coincide with the genome-wide epigenetic reprogramming that occurs during gametogenesis and early embryogenesis; therefore, the establishment and maintenance of DNA methylation must be tightly regulated. Studies on enzymes that participate in both de novo methylation and its maintenance (i.e., the DNMT family) have provided information on how methylation influences imprinting. However, many aspects of the regulation of DNA methylation are unknown, including how methylation complexes are targeted and the molecular mechanisms underlying DNA demethylation. In this review we focus on the epigenetic changes that occur in the germline and early embryo, with an emphasis on imprinting. We summarize recent findings on factors influencing DNA methylation establishment, maintenance, and erasure that have further elucidated the mechanisms of imprinting, while highlighting topics that require further investigation. © 2009 Springer Science+Business Media, LLC.","author":[{"dropping-particle":"","family":"Weaver","given":"Jamie R.","non-dropping-particle":"","parse-names":false,"suffix":""},{"dropping-particle":"","family":"Susiarjo","given":"Martha","non-dropping-particle":"","parse-names":false,"suffix":""},{"dropping-particle":"","family":"Bartolomei","given":"Marisa S.","non-dropping-particle":"","parse-names":false,"suffix":""}],"container-title":"Mammalian Genome","id":"ITEM-1","issue":"9-10","issued":{"date-parts":[["2009"]]},"title":"Imprinting and epigenetic changes in the early embryo","type":"article","volume":"20"},"uris":["http://www.mendeley.com/documents/?uuid=71aabdd7-6678-3e0c-b646-cca0639cf4a9"]}],"mendeley":{"formattedCitation":"(Weaver et al., 2009)","plainTextFormattedCitation":"(Weaver et al., 2009)","previouslyFormattedCitation":"(Weaver et al., 2009)"},"properties":{"noteIndex":0},"schema":"https://github.com/citation-style-language/schema/raw/master/csl-citation.json"}</w:instrText>
            </w:r>
            <w:r w:rsidRPr="0041383A">
              <w:rPr>
                <w:rFonts w:cs="Times New Roman"/>
                <w:sz w:val="20"/>
                <w:szCs w:val="20"/>
              </w:rPr>
              <w:fldChar w:fldCharType="separate"/>
            </w:r>
            <w:r w:rsidR="00E74036" w:rsidRPr="007731DA">
              <w:rPr>
                <w:rFonts w:cs="Times New Roman"/>
                <w:noProof/>
                <w:sz w:val="20"/>
                <w:szCs w:val="20"/>
              </w:rPr>
              <w:t>(Weaver</w:t>
            </w:r>
            <w:r w:rsidR="003270A3" w:rsidRPr="007731DA">
              <w:rPr>
                <w:rFonts w:cs="Times New Roman"/>
                <w:noProof/>
                <w:sz w:val="20"/>
                <w:szCs w:val="20"/>
              </w:rPr>
              <w:t xml:space="preserve"> et al.</w:t>
            </w:r>
            <w:r w:rsidR="00E74036" w:rsidRPr="007731DA">
              <w:rPr>
                <w:rFonts w:cs="Times New Roman"/>
                <w:noProof/>
                <w:sz w:val="20"/>
                <w:szCs w:val="20"/>
              </w:rPr>
              <w:t>, 2009)</w:t>
            </w:r>
            <w:r w:rsidRPr="0041383A">
              <w:rPr>
                <w:rFonts w:cs="Times New Roman"/>
                <w:sz w:val="20"/>
                <w:szCs w:val="20"/>
              </w:rPr>
              <w:fldChar w:fldCharType="end"/>
            </w:r>
          </w:p>
        </w:tc>
      </w:tr>
      <w:tr w:rsidR="00010F50" w14:paraId="710FA2A1" w14:textId="77777777" w:rsidTr="00B8223C">
        <w:trPr>
          <w:jc w:val="center"/>
        </w:trPr>
        <w:tc>
          <w:tcPr>
            <w:tcW w:w="9265" w:type="dxa"/>
            <w:gridSpan w:val="4"/>
            <w:vAlign w:val="center"/>
          </w:tcPr>
          <w:p w14:paraId="0ABF89A1" w14:textId="77777777" w:rsidR="00010F50" w:rsidRPr="0041383A" w:rsidRDefault="00010F50" w:rsidP="00AC4637">
            <w:pPr>
              <w:spacing w:line="240" w:lineRule="auto"/>
              <w:contextualSpacing/>
              <w:rPr>
                <w:rFonts w:cs="Times New Roman"/>
                <w:b/>
              </w:rPr>
            </w:pPr>
            <w:r w:rsidRPr="0041383A">
              <w:rPr>
                <w:rFonts w:cs="Times New Roman"/>
                <w:b/>
              </w:rPr>
              <w:t>Mouse allele-specific expression</w:t>
            </w:r>
            <w:r>
              <w:rPr>
                <w:rFonts w:cs="Times New Roman"/>
                <w:b/>
              </w:rPr>
              <w:t xml:space="preserve"> primers</w:t>
            </w:r>
          </w:p>
        </w:tc>
      </w:tr>
      <w:tr w:rsidR="00AC4637" w14:paraId="191E66B3" w14:textId="77777777" w:rsidTr="00B8223C">
        <w:trPr>
          <w:trHeight w:val="460"/>
          <w:jc w:val="center"/>
        </w:trPr>
        <w:tc>
          <w:tcPr>
            <w:tcW w:w="1075" w:type="dxa"/>
            <w:vAlign w:val="center"/>
          </w:tcPr>
          <w:p w14:paraId="7FDEDCB7" w14:textId="77777777" w:rsidR="00AC4637" w:rsidRPr="0041383A" w:rsidRDefault="00AC4637" w:rsidP="00AC4637">
            <w:pPr>
              <w:spacing w:line="240" w:lineRule="auto"/>
              <w:contextualSpacing/>
              <w:rPr>
                <w:rFonts w:cs="Times New Roman"/>
                <w:i/>
                <w:iCs/>
                <w:sz w:val="20"/>
                <w:szCs w:val="20"/>
              </w:rPr>
            </w:pPr>
            <w:r w:rsidRPr="0041383A">
              <w:rPr>
                <w:rFonts w:cs="Times New Roman"/>
                <w:i/>
                <w:iCs/>
                <w:sz w:val="20"/>
                <w:szCs w:val="20"/>
              </w:rPr>
              <w:t>Igf2</w:t>
            </w:r>
          </w:p>
        </w:tc>
        <w:tc>
          <w:tcPr>
            <w:tcW w:w="3420" w:type="dxa"/>
            <w:vAlign w:val="center"/>
          </w:tcPr>
          <w:p w14:paraId="23C65DC8" w14:textId="77777777" w:rsidR="00AC4637" w:rsidRPr="0041383A" w:rsidRDefault="00AC4637" w:rsidP="00AC4637">
            <w:pPr>
              <w:pStyle w:val="NormalWeb"/>
              <w:spacing w:line="240" w:lineRule="auto"/>
              <w:rPr>
                <w:sz w:val="18"/>
                <w:szCs w:val="18"/>
              </w:rPr>
            </w:pPr>
            <w:r w:rsidRPr="0041383A">
              <w:rPr>
                <w:sz w:val="18"/>
                <w:szCs w:val="18"/>
              </w:rPr>
              <w:t xml:space="preserve">ATCTGTGACCTCTTGAGCAGG </w:t>
            </w:r>
          </w:p>
        </w:tc>
        <w:tc>
          <w:tcPr>
            <w:tcW w:w="3510" w:type="dxa"/>
            <w:vAlign w:val="center"/>
          </w:tcPr>
          <w:p w14:paraId="0C087A88" w14:textId="77777777" w:rsidR="00AC4637" w:rsidRPr="0041383A" w:rsidRDefault="00AC4637" w:rsidP="00AC4637">
            <w:pPr>
              <w:pStyle w:val="NormalWeb"/>
              <w:spacing w:line="240" w:lineRule="auto"/>
              <w:rPr>
                <w:sz w:val="18"/>
                <w:szCs w:val="18"/>
              </w:rPr>
            </w:pPr>
            <w:r w:rsidRPr="0041383A">
              <w:rPr>
                <w:sz w:val="18"/>
                <w:szCs w:val="18"/>
              </w:rPr>
              <w:t xml:space="preserve">GGGTTGTTTAGAGCCAATCAA </w:t>
            </w:r>
          </w:p>
        </w:tc>
        <w:tc>
          <w:tcPr>
            <w:tcW w:w="1260" w:type="dxa"/>
          </w:tcPr>
          <w:p w14:paraId="3C5161B6" w14:textId="689FB096" w:rsidR="00AC4637" w:rsidRPr="005209F1" w:rsidRDefault="00AC4637" w:rsidP="00AC4637">
            <w:pPr>
              <w:spacing w:line="240" w:lineRule="auto"/>
              <w:contextualSpacing/>
              <w:rPr>
                <w:rFonts w:cs="Times New Roman"/>
                <w:b/>
                <w:sz w:val="20"/>
                <w:szCs w:val="20"/>
              </w:rPr>
            </w:pPr>
            <w:r>
              <w:rPr>
                <w:rFonts w:cs="Times New Roman"/>
                <w:b/>
                <w:sz w:val="20"/>
                <w:szCs w:val="20"/>
              </w:rPr>
              <w:fldChar w:fldCharType="begin" w:fldLock="1"/>
            </w:r>
            <w:r w:rsidR="007731DA">
              <w:rPr>
                <w:rFonts w:cs="Times New Roman"/>
                <w:b/>
                <w:sz w:val="20"/>
                <w:szCs w:val="20"/>
              </w:rPr>
              <w:instrText>ADDIN CSL_CITATION {"citationItems":[{"id":"ITEM-1","itemData":{"DOI":"10.1093/hmg/ddv400","ISSN":"14602083","abstract":"Assisted reproductive technologies (ART) are associated with several complications including low birth weight, abnormal placentation and increased risk for rare imprinting disorders. Indeed, experimental studies demonstrate ART procedures independent of existing infertility induce epigenetic perturbations in the embryo and extraembryonic tissues. To test the hypothesis that these epigenetic perturbations persist and result in adverse outcomes at term, we assessed placental morphology and methylation profiles in E18.5 mouse concepti generated by in vitro fertilization (IVF) in two different genetic backgrounds. We also examined embryo transfer (ET) and superovulation procedures to ascertain if they contribute to developmental and epigenetic effects. Increased placental weight and reduced fetal-to-placental weight ratiowere observed in all ART groups when compared with naturally conceived controls, demonstrating that non-surgical embryo transfer alone can impact placental development. Furthermore, superovulation further induced overgrowth of the placental junctional zone. Embryo transfer and superovulation defectswere limited to these morphological changes, aswe did not observe any differences in epigenetic profiles. IVF placentae, however, displayed hypomethylation of imprinting control regions of select imprinted genes and a global reduction in DNA methylation levels. Althoughwe did not detect significant differences in DNA methylation in fetal brain or liver samples, rare IVF concepti displayed very low methylation and abnormal gene expression from the normally repressed allele. Our findings suggest that individual ART procedures cumulatively increase placental morphological abnormalities and epigenetic perturbations, potentially causing adverse neonatal and long-term health outcomes in offspring.","author":[{"dropping-particle":"","family":"Waal","given":"Eric","non-dropping-particle":"de","parse-names":false,"suffix":""},{"dropping-particle":"","family":"Vrooman","given":"Lisa A.","non-dropping-particle":"","parse-names":false,"suffix":""},{"dropping-particle":"","family":"Fischer","given":"Erin","non-dropping-particle":"","parse-names":false,"suffix":""},{"dropping-particle":"","family":"Ord","given":"Teri","non-dropping-particle":"","parse-names":false,"suffix":""},{"dropping-particle":"","family":"Mainigi","given":"Monica A.","non-dropping-particle":"","parse-names":false,"suffix":""},{"dropping-particle":"","family":"Coutifaris","given":"Christos","non-dropping-particle":"","parse-names":false,"suffix":""},{"dropping-particle":"","family":"Schultz","given":"Richard M.","non-dropping-particle":"","parse-names":false,"suffix":""},{"dropping-particle":"","family":"Bartolomei","given":"Marisa S.","non-dropping-particle":"","parse-names":false,"suffix":""}],"container-title":"Human Molecular Genetics","id":"ITEM-1","issued":{"date-parts":[["2015"]]},"title":"The cumulative effect of assisted reproduction procedures on placental development and epigenetic perturbations in a mouse model","type":"article-journal"},"uris":["http://www.mendeley.com/documents/?uuid=ea82cd99-ebfb-4115-b320-3c33cc9cff65"]}],"mendeley":{"formattedCitation":"(de Waal et al., 2015)","plainTextFormattedCitation":"(de Waal et al., 2015)","previouslyFormattedCitation":"(de Waal et al., 2015)"},"properties":{"noteIndex":0},"schema":"https://github.com/citation-style-language/schema/raw/master/csl-citation.json"}</w:instrText>
            </w:r>
            <w:r>
              <w:rPr>
                <w:rFonts w:cs="Times New Roman"/>
                <w:b/>
                <w:sz w:val="20"/>
                <w:szCs w:val="20"/>
              </w:rPr>
              <w:fldChar w:fldCharType="separate"/>
            </w:r>
            <w:r w:rsidR="00E74036" w:rsidRPr="00E74036">
              <w:rPr>
                <w:rFonts w:cs="Times New Roman"/>
                <w:noProof/>
                <w:sz w:val="20"/>
                <w:szCs w:val="20"/>
              </w:rPr>
              <w:t>(de Waal et al., 2015)</w:t>
            </w:r>
            <w:r>
              <w:rPr>
                <w:rFonts w:cs="Times New Roman"/>
                <w:b/>
                <w:sz w:val="20"/>
                <w:szCs w:val="20"/>
              </w:rPr>
              <w:fldChar w:fldCharType="end"/>
            </w:r>
          </w:p>
        </w:tc>
      </w:tr>
      <w:tr w:rsidR="00010F50" w14:paraId="1CD93007" w14:textId="77777777" w:rsidTr="00B8223C">
        <w:trPr>
          <w:jc w:val="center"/>
        </w:trPr>
        <w:tc>
          <w:tcPr>
            <w:tcW w:w="9265" w:type="dxa"/>
            <w:gridSpan w:val="4"/>
            <w:vAlign w:val="center"/>
          </w:tcPr>
          <w:p w14:paraId="3E56A3DD" w14:textId="2B8456BD" w:rsidR="00010F50" w:rsidRDefault="00010F50" w:rsidP="00AC4637">
            <w:pPr>
              <w:spacing w:line="240" w:lineRule="auto"/>
              <w:contextualSpacing/>
              <w:rPr>
                <w:rFonts w:cs="Times New Roman"/>
                <w:b/>
              </w:rPr>
            </w:pPr>
            <w:r w:rsidRPr="00FF0D94">
              <w:rPr>
                <w:rFonts w:cs="Times New Roman"/>
                <w:bCs/>
              </w:rPr>
              <w:t>PCR condition:</w:t>
            </w:r>
            <w:r>
              <w:rPr>
                <w:rFonts w:cs="Times New Roman"/>
                <w:bCs/>
              </w:rPr>
              <w:t xml:space="preserve"> </w:t>
            </w:r>
            <w:r w:rsidRPr="00FF0D94">
              <w:rPr>
                <w:rFonts w:cs="Times New Roman"/>
                <w:bCs/>
              </w:rPr>
              <w:t xml:space="preserve">95°C 2min, (95°C 15s, </w:t>
            </w:r>
            <w:r>
              <w:rPr>
                <w:rFonts w:cs="Times New Roman"/>
                <w:bCs/>
              </w:rPr>
              <w:t>58</w:t>
            </w:r>
            <w:r w:rsidRPr="00FF0D94">
              <w:rPr>
                <w:rFonts w:cs="Times New Roman"/>
                <w:bCs/>
              </w:rPr>
              <w:t>°C 10s, 72°C 20s)x26-30 cycles, 72°C 5min</w:t>
            </w:r>
          </w:p>
        </w:tc>
      </w:tr>
      <w:tr w:rsidR="00010F50" w14:paraId="485223B0" w14:textId="77777777" w:rsidTr="00B8223C">
        <w:trPr>
          <w:jc w:val="center"/>
        </w:trPr>
        <w:tc>
          <w:tcPr>
            <w:tcW w:w="9265" w:type="dxa"/>
            <w:gridSpan w:val="4"/>
            <w:vAlign w:val="center"/>
          </w:tcPr>
          <w:p w14:paraId="53142EBE" w14:textId="77777777" w:rsidR="00010F50" w:rsidRPr="0041383A" w:rsidRDefault="00010F50" w:rsidP="00AC4637">
            <w:pPr>
              <w:spacing w:line="240" w:lineRule="auto"/>
              <w:contextualSpacing/>
              <w:rPr>
                <w:rFonts w:cs="Times New Roman"/>
                <w:b/>
              </w:rPr>
            </w:pPr>
            <w:r>
              <w:rPr>
                <w:rFonts w:cs="Times New Roman"/>
                <w:b/>
              </w:rPr>
              <w:t>M</w:t>
            </w:r>
            <w:r w:rsidRPr="0041383A">
              <w:rPr>
                <w:rFonts w:cs="Times New Roman"/>
                <w:b/>
              </w:rPr>
              <w:t>ouse genotyping</w:t>
            </w:r>
            <w:r>
              <w:rPr>
                <w:rFonts w:cs="Times New Roman"/>
                <w:b/>
              </w:rPr>
              <w:t xml:space="preserve"> primers</w:t>
            </w:r>
          </w:p>
        </w:tc>
      </w:tr>
      <w:tr w:rsidR="00010F50" w14:paraId="7208061B" w14:textId="77777777" w:rsidTr="00B8223C">
        <w:trPr>
          <w:jc w:val="center"/>
        </w:trPr>
        <w:tc>
          <w:tcPr>
            <w:tcW w:w="1075" w:type="dxa"/>
            <w:vAlign w:val="center"/>
          </w:tcPr>
          <w:p w14:paraId="122FE9A9" w14:textId="77777777" w:rsidR="00010F50" w:rsidRPr="0041383A" w:rsidRDefault="00010F50" w:rsidP="00AC4637">
            <w:pPr>
              <w:spacing w:line="240" w:lineRule="auto"/>
              <w:contextualSpacing/>
              <w:rPr>
                <w:rFonts w:cs="Times New Roman"/>
                <w:i/>
                <w:iCs/>
                <w:sz w:val="20"/>
                <w:szCs w:val="20"/>
              </w:rPr>
            </w:pPr>
            <w:r w:rsidRPr="0041383A">
              <w:rPr>
                <w:rFonts w:cs="Times New Roman"/>
                <w:i/>
                <w:iCs/>
                <w:sz w:val="20"/>
                <w:szCs w:val="20"/>
              </w:rPr>
              <w:t>hIC1</w:t>
            </w:r>
          </w:p>
        </w:tc>
        <w:tc>
          <w:tcPr>
            <w:tcW w:w="3420" w:type="dxa"/>
            <w:vAlign w:val="center"/>
          </w:tcPr>
          <w:p w14:paraId="5323C040" w14:textId="77777777" w:rsidR="00010F50" w:rsidRPr="0041383A" w:rsidRDefault="00010F50" w:rsidP="00AC4637">
            <w:pPr>
              <w:pStyle w:val="NormalWeb"/>
              <w:spacing w:line="240" w:lineRule="auto"/>
              <w:rPr>
                <w:sz w:val="18"/>
                <w:szCs w:val="18"/>
              </w:rPr>
            </w:pPr>
            <w:r w:rsidRPr="0041383A">
              <w:rPr>
                <w:sz w:val="18"/>
                <w:szCs w:val="18"/>
              </w:rPr>
              <w:t xml:space="preserve">CCTTCACGGCTTTGACACTC </w:t>
            </w:r>
          </w:p>
        </w:tc>
        <w:tc>
          <w:tcPr>
            <w:tcW w:w="3510" w:type="dxa"/>
            <w:vAlign w:val="center"/>
          </w:tcPr>
          <w:p w14:paraId="1D933882" w14:textId="77777777" w:rsidR="00010F50" w:rsidRPr="0041383A" w:rsidRDefault="00010F50" w:rsidP="00AC4637">
            <w:pPr>
              <w:pStyle w:val="NormalWeb"/>
              <w:spacing w:line="240" w:lineRule="auto"/>
              <w:rPr>
                <w:sz w:val="18"/>
                <w:szCs w:val="18"/>
              </w:rPr>
            </w:pPr>
            <w:r w:rsidRPr="0041383A">
              <w:rPr>
                <w:sz w:val="18"/>
                <w:szCs w:val="18"/>
              </w:rPr>
              <w:t xml:space="preserve">GTCAACCGGAGGCACAGTAT </w:t>
            </w:r>
          </w:p>
        </w:tc>
        <w:tc>
          <w:tcPr>
            <w:tcW w:w="1260" w:type="dxa"/>
          </w:tcPr>
          <w:p w14:paraId="33EBA43A" w14:textId="3AAA67FF" w:rsidR="00010F50" w:rsidRPr="0041383A" w:rsidRDefault="00010F50" w:rsidP="00AC4637">
            <w:pPr>
              <w:spacing w:line="240" w:lineRule="auto"/>
              <w:contextualSpacing/>
              <w:rPr>
                <w:rFonts w:cs="Times New Roman"/>
                <w:sz w:val="20"/>
                <w:szCs w:val="20"/>
              </w:rPr>
            </w:pPr>
            <w:r w:rsidRPr="0041383A">
              <w:rPr>
                <w:rFonts w:cs="Times New Roman"/>
                <w:sz w:val="20"/>
                <w:szCs w:val="20"/>
              </w:rPr>
              <w:fldChar w:fldCharType="begin" w:fldLock="1"/>
            </w:r>
            <w:r w:rsidR="007731DA">
              <w:rPr>
                <w:rFonts w:cs="Times New Roman"/>
                <w:sz w:val="20"/>
                <w:szCs w:val="20"/>
              </w:rPr>
              <w:instrText>ADDIN CSL_CITATION {"citationItems":[{"id":"ITEM-1","itemData":{"DOI":"10.1073/pnas.1603066113","ISSN":"10916490","abstract":"Genomic imprinting affects a subset of genes in mammals, such that they are expressed in a monoallelic, parent-of-origin-specific manner. These genes are regulated by imprinting control regions (ICRs), cis-regulatory elements that exhibit allele-specific differential DNA methylation. Although genomic imprinting is conserved in mammals, ICRs are genetically divergent across species. This raises the fundamental question of whether the ICR plays a species-specific role in regulating imprinting at a given locus. We addressed this question at the H19/insulin-like growth factor 2 (Igf2) imprinted locus, the misregulation of which is associated with the human imprinting disorders Beckwith-Wiedemann syndrome (BWS) and Silver-Russell syndrome (SRS). We generated a knock-in mouse in which the endogenous H19/Igf2 ICR (mIC1) is replaced by the orthologous human ICR (hIC1) sequence, designated H19hIC1 . We show that hIC1 can functionally replace mIC1 on the maternal allele. In contrast, paternally transmitted hIC1 leads to growth restriction, abnormal hIC1 methylation, and loss of H19 and Igf2 imprinted expression. Imprint establishment at hIC1 is impaired in the male germ line, which is associated with an abnormal composition of histone posttranslational modifications compared with mIC1. Overall, this study reveals evolutionarily divergent paternal imprinting at IC1 between mice and humans. The conserved maternal imprinting mechanism and function at IC1 demonstrates the possibility of modeling maternal transmission of hIC1 mutations associated with BWS in mice. In addition, we propose that further analyses in the paternal knockin H19+/hIC1 mice will elucidate the molecular mechanisms that may underlie SRS.","author":[{"dropping-particle":"","family":"Hur","given":"Stella K.","non-dropping-particle":"","parse-names":false,"suffix":""},{"dropping-particle":"","family":"Freschi","given":"Andrea","non-dropping-particle":"","parse-names":false,"suffix":""},{"dropping-particle":"","family":"Ideraabdullah","given":"Folami","non-dropping-particle":"","parse-names":false,"suffix":""},{"dropping-particle":"","family":"Thorvaldsen","given":"Joanne L.","non-dropping-particle":"","parse-names":false,"suffix":""},{"dropping-particle":"","family":"Luense","given":"Lacey J.","non-dropping-particle":"","parse-names":false,"suffix":""},{"dropping-particle":"","family":"Weller","given":"Angela H.","non-dropping-particle":"","parse-names":false,"suffix":""},{"dropping-particle":"","family":"Berger","given":"Shelley L.","non-dropping-particle":"","parse-names":false,"suffix":""},{"dropping-particle":"","family":"Cerrato","given":"Flavia","non-dropping-particle":"","parse-names":false,"suffix":""},{"dropping-particle":"","family":"Riccio","given":"Andrea","non-dropping-particle":"","parse-names":false,"suffix":""},{"dropping-particle":"","family":"Bartolomei","given":"Marisa S.","non-dropping-particle":"","parse-names":false,"suffix":""}],"container-title":"Proceedings of the National Academy of Sciences of the United States of America","id":"ITEM-1","issued":{"date-parts":[["2016"]]},"title":"Humanized H19/Igf2 locus reveals diverged imprinting mechanism between mouse and human and reflects Silver-Russell syndrome phenotypes","type":"article-journal"},"uris":["http://www.mendeley.com/documents/?uuid=151754c5-18fa-4c8a-8d84-fad78453b532"]}],"mendeley":{"formattedCitation":"(Hur et al., 2016)","plainTextFormattedCitation":"(Hur et al., 2016)","previouslyFormattedCitation":"(Hur et al., 2016)"},"properties":{"noteIndex":0},"schema":"https://github.com/citation-style-language/schema/raw/master/csl-citation.json"}</w:instrText>
            </w:r>
            <w:r w:rsidRPr="0041383A">
              <w:rPr>
                <w:rFonts w:cs="Times New Roman"/>
                <w:sz w:val="20"/>
                <w:szCs w:val="20"/>
              </w:rPr>
              <w:fldChar w:fldCharType="separate"/>
            </w:r>
            <w:r w:rsidR="00E74036" w:rsidRPr="00E74036">
              <w:rPr>
                <w:rFonts w:cs="Times New Roman"/>
                <w:noProof/>
                <w:sz w:val="20"/>
                <w:szCs w:val="20"/>
              </w:rPr>
              <w:t>(Hur et al., 2016)</w:t>
            </w:r>
            <w:r w:rsidRPr="0041383A">
              <w:rPr>
                <w:rFonts w:cs="Times New Roman"/>
                <w:sz w:val="20"/>
                <w:szCs w:val="20"/>
              </w:rPr>
              <w:fldChar w:fldCharType="end"/>
            </w:r>
          </w:p>
        </w:tc>
      </w:tr>
      <w:tr w:rsidR="00010F50" w14:paraId="78057CE1" w14:textId="77777777" w:rsidTr="00B8223C">
        <w:trPr>
          <w:jc w:val="center"/>
        </w:trPr>
        <w:tc>
          <w:tcPr>
            <w:tcW w:w="1075" w:type="dxa"/>
            <w:vAlign w:val="center"/>
          </w:tcPr>
          <w:p w14:paraId="38DF2D20" w14:textId="77777777" w:rsidR="00010F50" w:rsidRPr="0041383A" w:rsidRDefault="00010F50" w:rsidP="00AC4637">
            <w:pPr>
              <w:spacing w:line="240" w:lineRule="auto"/>
              <w:contextualSpacing/>
              <w:rPr>
                <w:rFonts w:cs="Times New Roman"/>
                <w:i/>
                <w:iCs/>
                <w:sz w:val="20"/>
                <w:szCs w:val="20"/>
                <w:lang w:eastAsia="ja-JP"/>
              </w:rPr>
            </w:pPr>
            <w:r w:rsidRPr="0041383A">
              <w:rPr>
                <w:rFonts w:ascii="Cambria Math" w:hAnsi="Cambria Math" w:cs="Cambria Math"/>
                <w:i/>
                <w:iCs/>
                <w:sz w:val="20"/>
                <w:szCs w:val="20"/>
                <w:lang w:eastAsia="ja-JP"/>
              </w:rPr>
              <w:t>△</w:t>
            </w:r>
            <w:r w:rsidRPr="0041383A">
              <w:rPr>
                <w:rFonts w:cs="Times New Roman"/>
                <w:i/>
                <w:iCs/>
                <w:sz w:val="20"/>
                <w:szCs w:val="20"/>
                <w:lang w:eastAsia="ja-JP"/>
              </w:rPr>
              <w:t>H19</w:t>
            </w:r>
          </w:p>
        </w:tc>
        <w:tc>
          <w:tcPr>
            <w:tcW w:w="3420" w:type="dxa"/>
            <w:vAlign w:val="center"/>
          </w:tcPr>
          <w:p w14:paraId="64D2ED14" w14:textId="77777777" w:rsidR="00010F50" w:rsidRPr="0041383A" w:rsidRDefault="00010F50" w:rsidP="00AC4637">
            <w:pPr>
              <w:pStyle w:val="NormalWeb"/>
              <w:spacing w:line="240" w:lineRule="auto"/>
              <w:rPr>
                <w:sz w:val="18"/>
                <w:szCs w:val="18"/>
              </w:rPr>
            </w:pPr>
            <w:r w:rsidRPr="0041383A">
              <w:rPr>
                <w:sz w:val="18"/>
                <w:szCs w:val="18"/>
              </w:rPr>
              <w:t xml:space="preserve">TTGTGGTGAGGCTGTCTTTG </w:t>
            </w:r>
          </w:p>
        </w:tc>
        <w:tc>
          <w:tcPr>
            <w:tcW w:w="3510" w:type="dxa"/>
            <w:vAlign w:val="center"/>
          </w:tcPr>
          <w:p w14:paraId="0ADE0AE9" w14:textId="77777777" w:rsidR="00010F50" w:rsidRPr="0041383A" w:rsidRDefault="00010F50" w:rsidP="00AC4637">
            <w:pPr>
              <w:pStyle w:val="NormalWeb"/>
              <w:spacing w:line="240" w:lineRule="auto"/>
              <w:rPr>
                <w:sz w:val="18"/>
                <w:szCs w:val="18"/>
              </w:rPr>
            </w:pPr>
            <w:r w:rsidRPr="0041383A">
              <w:rPr>
                <w:sz w:val="18"/>
                <w:szCs w:val="18"/>
              </w:rPr>
              <w:t xml:space="preserve">CCTATTCCCCATTCCATCCT </w:t>
            </w:r>
          </w:p>
        </w:tc>
        <w:tc>
          <w:tcPr>
            <w:tcW w:w="1260" w:type="dxa"/>
          </w:tcPr>
          <w:p w14:paraId="03553CAD" w14:textId="77777777" w:rsidR="00010F50" w:rsidRPr="0041383A" w:rsidRDefault="00010F50" w:rsidP="00AC4637">
            <w:pPr>
              <w:spacing w:line="240" w:lineRule="auto"/>
              <w:contextualSpacing/>
              <w:rPr>
                <w:rFonts w:cs="Times New Roman"/>
                <w:sz w:val="20"/>
                <w:szCs w:val="20"/>
              </w:rPr>
            </w:pPr>
            <w:r w:rsidRPr="0041383A">
              <w:rPr>
                <w:rFonts w:cs="Times New Roman"/>
                <w:sz w:val="20"/>
                <w:szCs w:val="20"/>
              </w:rPr>
              <w:t>This study</w:t>
            </w:r>
          </w:p>
        </w:tc>
      </w:tr>
      <w:tr w:rsidR="00010F50" w14:paraId="1E24227F" w14:textId="77777777" w:rsidTr="00B8223C">
        <w:trPr>
          <w:jc w:val="center"/>
        </w:trPr>
        <w:tc>
          <w:tcPr>
            <w:tcW w:w="1075" w:type="dxa"/>
            <w:vAlign w:val="center"/>
          </w:tcPr>
          <w:p w14:paraId="0594C140" w14:textId="77777777" w:rsidR="00010F50" w:rsidRPr="0041383A" w:rsidRDefault="00010F50" w:rsidP="00AC4637">
            <w:pPr>
              <w:spacing w:line="240" w:lineRule="auto"/>
              <w:contextualSpacing/>
              <w:rPr>
                <w:rFonts w:cs="Times New Roman"/>
                <w:i/>
                <w:iCs/>
                <w:sz w:val="20"/>
                <w:szCs w:val="20"/>
              </w:rPr>
            </w:pPr>
            <w:r w:rsidRPr="0041383A">
              <w:rPr>
                <w:rFonts w:ascii="Cambria Math" w:hAnsi="Cambria Math" w:cs="Cambria Math"/>
                <w:i/>
                <w:iCs/>
                <w:sz w:val="20"/>
                <w:szCs w:val="20"/>
                <w:lang w:eastAsia="ja-JP"/>
              </w:rPr>
              <w:t>△</w:t>
            </w:r>
            <w:r w:rsidRPr="0041383A">
              <w:rPr>
                <w:rFonts w:cs="Times New Roman"/>
                <w:i/>
                <w:iCs/>
                <w:sz w:val="20"/>
                <w:szCs w:val="20"/>
                <w:lang w:eastAsia="ja-JP"/>
              </w:rPr>
              <w:t>3.8</w:t>
            </w:r>
          </w:p>
        </w:tc>
        <w:tc>
          <w:tcPr>
            <w:tcW w:w="3420" w:type="dxa"/>
            <w:vAlign w:val="center"/>
          </w:tcPr>
          <w:p w14:paraId="36C661E2" w14:textId="77777777" w:rsidR="00010F50" w:rsidRPr="0041383A" w:rsidRDefault="00010F50" w:rsidP="00AC4637">
            <w:pPr>
              <w:spacing w:line="240" w:lineRule="auto"/>
              <w:contextualSpacing/>
              <w:rPr>
                <w:rFonts w:cs="Times New Roman"/>
                <w:sz w:val="18"/>
                <w:szCs w:val="18"/>
              </w:rPr>
            </w:pPr>
            <w:r w:rsidRPr="0041383A">
              <w:rPr>
                <w:rFonts w:cs="Times New Roman"/>
                <w:sz w:val="18"/>
                <w:szCs w:val="18"/>
              </w:rPr>
              <w:t>CCAACTGAGAGGGCCATAGTGTGAG</w:t>
            </w:r>
          </w:p>
        </w:tc>
        <w:tc>
          <w:tcPr>
            <w:tcW w:w="3510" w:type="dxa"/>
            <w:vAlign w:val="center"/>
          </w:tcPr>
          <w:p w14:paraId="73A5E654" w14:textId="77777777" w:rsidR="00010F50" w:rsidRPr="0041383A" w:rsidRDefault="00010F50" w:rsidP="00AC4637">
            <w:pPr>
              <w:spacing w:line="240" w:lineRule="auto"/>
              <w:contextualSpacing/>
              <w:rPr>
                <w:rFonts w:cs="Times New Roman"/>
                <w:sz w:val="18"/>
                <w:szCs w:val="18"/>
              </w:rPr>
            </w:pPr>
            <w:r w:rsidRPr="0041383A">
              <w:rPr>
                <w:rFonts w:cs="Times New Roman"/>
                <w:sz w:val="18"/>
                <w:szCs w:val="18"/>
              </w:rPr>
              <w:t>CCACAGAGTCAGCATCCAC</w:t>
            </w:r>
          </w:p>
        </w:tc>
        <w:tc>
          <w:tcPr>
            <w:tcW w:w="1260" w:type="dxa"/>
          </w:tcPr>
          <w:p w14:paraId="3E820C71" w14:textId="255B7670" w:rsidR="00010F50" w:rsidRPr="0041383A" w:rsidRDefault="00010F50" w:rsidP="00AC4637">
            <w:pPr>
              <w:spacing w:line="240" w:lineRule="auto"/>
              <w:contextualSpacing/>
              <w:rPr>
                <w:rFonts w:cs="Times New Roman"/>
                <w:sz w:val="20"/>
                <w:szCs w:val="20"/>
              </w:rPr>
            </w:pPr>
            <w:r w:rsidRPr="0041383A">
              <w:rPr>
                <w:rFonts w:cs="Times New Roman"/>
                <w:sz w:val="20"/>
                <w:szCs w:val="20"/>
              </w:rPr>
              <w:fldChar w:fldCharType="begin" w:fldLock="1"/>
            </w:r>
            <w:r w:rsidR="00330D7B">
              <w:rPr>
                <w:rFonts w:cs="Times New Roman"/>
                <w:sz w:val="20"/>
                <w:szCs w:val="20"/>
              </w:rPr>
              <w:instrText>ADDIN CSL_CITATION {"citationItems":[{"id":"ITEM-1","itemData":{"DOI":"10.1128/mcb.22.8.2450-2462.2002","ISSN":"0270-7306","abstract":"Imprinting of the linked and oppositely expressed mouse H19 and Igf2 genes requires a 2-kb differentially methylated domain (DMD) that is located 2 kb upstream of H19. This element is postulated to function as a methylation-sensitive insulator. Here we test whether an additional sequence 5' of H19 is required for H19 and Igf2 imprinting. Because repetitive elements have been suggested to be important for genomic imprinting, the requirement of a G-rich repetitive element that is located immediately 3' to the DMD was first tested in two targeted deletions: a 2.9-kb deletion (Delta D MD Delta G) that removes the DMD and G-rich repeat and a 1.3-kb deletion (Delta G) removing only the latter. There are also four 21-bp GC-rich repetitive elements within the DMD that bind the insulator-associated CTCF (CCCTC-binding factor) protein and are implicated in mediating methylation-sensitive insulator activity. As three of the four repeats of the 2-kb DMD were deleted in the initial 1.6-kb Delta DMD allele, we analyzed a 3.8-kb targeted allele (Delta 3.8kb-5'H19), which deletes the entire DMD, to test the function of the fourth repeat. Comparative analysis of the 5' deletion alleles reveals that (i) the G-rich repeat element is dispensable for imprinting, (ii) the Delta DMD and Delta DMD Delta G alleles exhibit slightly more methylation upon paternal transmission, (iii) removal of the 5' CTCF site does not further perturb H19 and Igf2 imprinting, suggesting that one CTCF-binding site is insufficient to generate insulator activity in vivo, (iv) the DMD sequence is required for full activation of H19 and Igf2, and (v) deletion of the DMD disrupts H19 and Igf2 expression in a tissue-specific manner.","author":[{"dropping-particle":"","family":"Thorvaldsen","given":"J. L.","non-dropping-particle":"","parse-names":false,"suffix":""},{"dropping-particle":"","family":"Mann","given":"M. R. W.","non-dropping-particle":"","parse-names":false,"suffix":""},{"dropping-particle":"","family":"Nwoko","given":"O.","non-dropping-particle":"","parse-names":false,"suffix":""},{"dropping-particle":"","family":"Duran","given":"K. L.","non-dropping-particle":"","parse-names":false,"suffix":""},{"dropping-particle":"","family":"Bartolomei","given":"M. S.","non-dropping-particle":"","parse-names":false,"suffix":""}],"container-title":"Molecular and Cellular Biology","id":"ITEM-1","issued":{"date-parts":[["2002"]]},"title":"Analysis of Sequence Upstream of the Endogenous H19 Gene Reveals Elements Both Essential and Dispensable for Imprinting","type":"article-journal"},"uris":["http://www.mendeley.com/documents/?uuid=01672364-f803-4b45-bdee-ef89a9c57987"]}],"mendeley":{"formattedCitation":"(Thorvaldsen et al., 2002)","manualFormatting":"(Thorvaldsen et al., 2002)","plainTextFormattedCitation":"(Thorvaldsen et al., 2002)","previouslyFormattedCitation":"(Thorvaldsen et al., 2002)"},"properties":{"noteIndex":0},"schema":"https://github.com/citation-style-language/schema/raw/master/csl-citation.json"}</w:instrText>
            </w:r>
            <w:r w:rsidRPr="0041383A">
              <w:rPr>
                <w:rFonts w:cs="Times New Roman"/>
                <w:sz w:val="20"/>
                <w:szCs w:val="20"/>
              </w:rPr>
              <w:fldChar w:fldCharType="separate"/>
            </w:r>
            <w:r w:rsidR="00E74036" w:rsidRPr="00E74036">
              <w:rPr>
                <w:rFonts w:cs="Times New Roman"/>
                <w:noProof/>
                <w:sz w:val="20"/>
                <w:szCs w:val="20"/>
              </w:rPr>
              <w:t>(Thorvaldsen</w:t>
            </w:r>
            <w:r w:rsidR="00920C46">
              <w:rPr>
                <w:rFonts w:cs="Times New Roman"/>
                <w:noProof/>
                <w:sz w:val="20"/>
                <w:szCs w:val="20"/>
              </w:rPr>
              <w:t xml:space="preserve"> et al.</w:t>
            </w:r>
            <w:r w:rsidR="00E74036" w:rsidRPr="00E74036">
              <w:rPr>
                <w:rFonts w:cs="Times New Roman"/>
                <w:noProof/>
                <w:sz w:val="20"/>
                <w:szCs w:val="20"/>
              </w:rPr>
              <w:t>, 2002)</w:t>
            </w:r>
            <w:r w:rsidRPr="0041383A">
              <w:rPr>
                <w:rFonts w:cs="Times New Roman"/>
                <w:sz w:val="20"/>
                <w:szCs w:val="20"/>
              </w:rPr>
              <w:fldChar w:fldCharType="end"/>
            </w:r>
          </w:p>
        </w:tc>
      </w:tr>
      <w:tr w:rsidR="00B8223C" w14:paraId="60C09B63" w14:textId="77777777" w:rsidTr="00B8223C">
        <w:trPr>
          <w:jc w:val="center"/>
        </w:trPr>
        <w:tc>
          <w:tcPr>
            <w:tcW w:w="9265" w:type="dxa"/>
            <w:gridSpan w:val="4"/>
            <w:vAlign w:val="center"/>
          </w:tcPr>
          <w:p w14:paraId="6B4C14A3" w14:textId="7808BA10" w:rsidR="00B8223C" w:rsidRPr="00FF0D94" w:rsidRDefault="00B8223C" w:rsidP="00B8223C">
            <w:pPr>
              <w:spacing w:line="240" w:lineRule="auto"/>
              <w:contextualSpacing/>
              <w:rPr>
                <w:rFonts w:cs="Times New Roman"/>
                <w:sz w:val="20"/>
                <w:szCs w:val="20"/>
              </w:rPr>
            </w:pPr>
            <w:r>
              <w:rPr>
                <w:rFonts w:cs="Times New Roman"/>
                <w:sz w:val="20"/>
                <w:szCs w:val="20"/>
              </w:rPr>
              <w:t xml:space="preserve">PCR condition: </w:t>
            </w:r>
            <w:r w:rsidRPr="00FF0D94">
              <w:rPr>
                <w:rFonts w:cs="Times New Roman"/>
                <w:bCs/>
              </w:rPr>
              <w:t xml:space="preserve">95°C 2min, (95°C 15s, </w:t>
            </w:r>
            <w:r>
              <w:rPr>
                <w:rFonts w:cs="Times New Roman"/>
                <w:bCs/>
              </w:rPr>
              <w:t>58</w:t>
            </w:r>
            <w:r w:rsidRPr="00FF0D94">
              <w:rPr>
                <w:rFonts w:cs="Times New Roman"/>
                <w:bCs/>
              </w:rPr>
              <w:t>°C 10s, 72°C 20s)x</w:t>
            </w:r>
            <w:r>
              <w:rPr>
                <w:rFonts w:cs="Times New Roman"/>
                <w:bCs/>
              </w:rPr>
              <w:t>35</w:t>
            </w:r>
            <w:r w:rsidRPr="00FF0D94">
              <w:rPr>
                <w:rFonts w:cs="Times New Roman"/>
                <w:bCs/>
              </w:rPr>
              <w:t xml:space="preserve"> cycles, 72°C </w:t>
            </w:r>
            <w:r>
              <w:rPr>
                <w:rFonts w:cs="Times New Roman"/>
                <w:bCs/>
              </w:rPr>
              <w:t>2</w:t>
            </w:r>
            <w:r w:rsidRPr="00FF0D94">
              <w:rPr>
                <w:rFonts w:cs="Times New Roman"/>
                <w:bCs/>
              </w:rPr>
              <w:t>min</w:t>
            </w:r>
          </w:p>
        </w:tc>
      </w:tr>
      <w:tr w:rsidR="00B8223C" w14:paraId="4EF366D6" w14:textId="6ABCF336" w:rsidTr="00B8223C">
        <w:trPr>
          <w:jc w:val="center"/>
        </w:trPr>
        <w:tc>
          <w:tcPr>
            <w:tcW w:w="9265" w:type="dxa"/>
            <w:gridSpan w:val="4"/>
            <w:tcBorders>
              <w:bottom w:val="single" w:sz="4" w:space="0" w:color="000000"/>
            </w:tcBorders>
            <w:vAlign w:val="center"/>
          </w:tcPr>
          <w:p w14:paraId="186AA973" w14:textId="4628F641" w:rsidR="00B8223C" w:rsidRPr="00B8223C" w:rsidRDefault="00B8223C" w:rsidP="00B8223C">
            <w:pPr>
              <w:spacing w:line="240" w:lineRule="auto"/>
              <w:contextualSpacing/>
              <w:rPr>
                <w:rFonts w:cs="Times New Roman"/>
                <w:b/>
              </w:rPr>
            </w:pPr>
            <w:r w:rsidRPr="00B8223C">
              <w:rPr>
                <w:rFonts w:cs="Times New Roman"/>
                <w:b/>
              </w:rPr>
              <w:t xml:space="preserve">gRNA </w:t>
            </w:r>
            <w:r w:rsidRPr="00B8223C">
              <w:rPr>
                <w:rFonts w:cs="Times New Roman"/>
                <w:b/>
                <w:szCs w:val="22"/>
              </w:rPr>
              <w:t xml:space="preserve">pairs for generating </w:t>
            </w:r>
            <w:r w:rsidRPr="00B8223C">
              <w:rPr>
                <w:rFonts w:ascii="Cambria Math" w:hAnsi="Cambria Math" w:cs="Cambria Math"/>
                <w:b/>
                <w:i/>
                <w:iCs/>
                <w:szCs w:val="22"/>
                <w:lang w:eastAsia="ja-JP"/>
              </w:rPr>
              <w:t>△</w:t>
            </w:r>
            <w:r w:rsidRPr="00B8223C">
              <w:rPr>
                <w:rFonts w:cs="Times New Roman"/>
                <w:b/>
                <w:i/>
                <w:iCs/>
                <w:szCs w:val="22"/>
              </w:rPr>
              <w:t>H19</w:t>
            </w:r>
            <w:r w:rsidRPr="00B8223C">
              <w:rPr>
                <w:rFonts w:cs="Times New Roman"/>
                <w:b/>
                <w:szCs w:val="22"/>
              </w:rPr>
              <w:t xml:space="preserve"> allele</w:t>
            </w:r>
            <w:r>
              <w:rPr>
                <w:rFonts w:cs="Times New Roman"/>
                <w:b/>
                <w:szCs w:val="22"/>
              </w:rPr>
              <w:t xml:space="preserve"> </w:t>
            </w:r>
            <w:r w:rsidRPr="00B8223C">
              <w:rPr>
                <w:rFonts w:cs="Times New Roman"/>
                <w:bCs/>
                <w:szCs w:val="22"/>
              </w:rPr>
              <w:t>(</w:t>
            </w:r>
            <w:r w:rsidRPr="00B67DFF">
              <w:rPr>
                <w:rFonts w:cs="Times New Roman"/>
                <w:bCs/>
                <w:szCs w:val="22"/>
              </w:rPr>
              <w:t>PAM sequences are underlined</w:t>
            </w:r>
            <w:r>
              <w:rPr>
                <w:rFonts w:cs="Times New Roman"/>
                <w:bCs/>
                <w:szCs w:val="22"/>
              </w:rPr>
              <w:t>)</w:t>
            </w:r>
          </w:p>
        </w:tc>
      </w:tr>
      <w:tr w:rsidR="00B8223C" w14:paraId="30EC65BC" w14:textId="77777777" w:rsidTr="00983D31">
        <w:trPr>
          <w:jc w:val="center"/>
        </w:trPr>
        <w:tc>
          <w:tcPr>
            <w:tcW w:w="1075" w:type="dxa"/>
            <w:tcBorders>
              <w:top w:val="single" w:sz="4" w:space="0" w:color="000000"/>
            </w:tcBorders>
            <w:vAlign w:val="center"/>
          </w:tcPr>
          <w:p w14:paraId="51D6E64E" w14:textId="7B5E24D5" w:rsidR="00B8223C" w:rsidRPr="00983D31" w:rsidRDefault="00B8223C" w:rsidP="00B8223C">
            <w:pPr>
              <w:spacing w:line="240" w:lineRule="auto"/>
              <w:contextualSpacing/>
              <w:rPr>
                <w:sz w:val="20"/>
                <w:szCs w:val="20"/>
              </w:rPr>
            </w:pPr>
            <w:r w:rsidRPr="00983D31">
              <w:rPr>
                <w:sz w:val="20"/>
                <w:szCs w:val="20"/>
              </w:rPr>
              <w:t>Pair A</w:t>
            </w:r>
          </w:p>
        </w:tc>
        <w:tc>
          <w:tcPr>
            <w:tcW w:w="3420" w:type="dxa"/>
            <w:tcBorders>
              <w:top w:val="single" w:sz="4" w:space="0" w:color="000000"/>
            </w:tcBorders>
            <w:vAlign w:val="center"/>
          </w:tcPr>
          <w:p w14:paraId="3C4E2091" w14:textId="63A65187" w:rsidR="00B8223C" w:rsidRPr="00983D31" w:rsidRDefault="00B8223C" w:rsidP="00B8223C">
            <w:pPr>
              <w:spacing w:line="240" w:lineRule="auto"/>
              <w:contextualSpacing/>
              <w:rPr>
                <w:sz w:val="18"/>
                <w:szCs w:val="18"/>
              </w:rPr>
            </w:pPr>
            <w:r w:rsidRPr="00983D31">
              <w:rPr>
                <w:rFonts w:cs="Times New Roman"/>
                <w:bCs/>
                <w:sz w:val="18"/>
                <w:szCs w:val="18"/>
              </w:rPr>
              <w:t>CTTCAATATAATGCGACTCA</w:t>
            </w:r>
            <w:r w:rsidRPr="00983D31">
              <w:rPr>
                <w:rFonts w:cs="Times New Roman"/>
                <w:bCs/>
                <w:sz w:val="18"/>
                <w:szCs w:val="18"/>
                <w:u w:val="single"/>
              </w:rPr>
              <w:t>TGG</w:t>
            </w:r>
          </w:p>
        </w:tc>
        <w:tc>
          <w:tcPr>
            <w:tcW w:w="4770" w:type="dxa"/>
            <w:gridSpan w:val="2"/>
            <w:tcBorders>
              <w:top w:val="single" w:sz="4" w:space="0" w:color="000000"/>
            </w:tcBorders>
            <w:vAlign w:val="center"/>
          </w:tcPr>
          <w:p w14:paraId="2EC0C605" w14:textId="43EBE5E7" w:rsidR="00B8223C" w:rsidRPr="00983D31" w:rsidRDefault="00B8223C" w:rsidP="00B8223C">
            <w:pPr>
              <w:spacing w:line="240" w:lineRule="auto"/>
              <w:contextualSpacing/>
              <w:rPr>
                <w:sz w:val="18"/>
                <w:szCs w:val="18"/>
              </w:rPr>
            </w:pPr>
            <w:r w:rsidRPr="00983D31">
              <w:rPr>
                <w:rFonts w:cs="Times New Roman"/>
                <w:bCs/>
                <w:sz w:val="18"/>
                <w:szCs w:val="18"/>
              </w:rPr>
              <w:t>AACGTGCGCTGGAACGATAC</w:t>
            </w:r>
            <w:r w:rsidRPr="00983D31">
              <w:rPr>
                <w:rFonts w:cs="Times New Roman"/>
                <w:bCs/>
                <w:sz w:val="18"/>
                <w:szCs w:val="18"/>
                <w:u w:val="single"/>
              </w:rPr>
              <w:t>AGG</w:t>
            </w:r>
          </w:p>
        </w:tc>
      </w:tr>
      <w:tr w:rsidR="00B8223C" w14:paraId="0468E8EC" w14:textId="77777777" w:rsidTr="00983D31">
        <w:trPr>
          <w:jc w:val="center"/>
        </w:trPr>
        <w:tc>
          <w:tcPr>
            <w:tcW w:w="1075" w:type="dxa"/>
            <w:vAlign w:val="center"/>
          </w:tcPr>
          <w:p w14:paraId="047FEDE5" w14:textId="77E52689" w:rsidR="00B8223C" w:rsidRPr="00983D31" w:rsidRDefault="00B8223C" w:rsidP="00B8223C">
            <w:pPr>
              <w:spacing w:line="240" w:lineRule="auto"/>
              <w:contextualSpacing/>
              <w:rPr>
                <w:sz w:val="20"/>
                <w:szCs w:val="20"/>
              </w:rPr>
            </w:pPr>
            <w:r w:rsidRPr="00983D31">
              <w:rPr>
                <w:sz w:val="20"/>
                <w:szCs w:val="20"/>
              </w:rPr>
              <w:t>Pair B</w:t>
            </w:r>
          </w:p>
        </w:tc>
        <w:tc>
          <w:tcPr>
            <w:tcW w:w="3420" w:type="dxa"/>
            <w:vAlign w:val="center"/>
          </w:tcPr>
          <w:p w14:paraId="3AD61C8C" w14:textId="2CD98FF7" w:rsidR="00B8223C" w:rsidRPr="00983D31" w:rsidRDefault="00B8223C" w:rsidP="00B8223C">
            <w:pPr>
              <w:spacing w:line="240" w:lineRule="auto"/>
              <w:contextualSpacing/>
              <w:rPr>
                <w:sz w:val="18"/>
                <w:szCs w:val="18"/>
              </w:rPr>
            </w:pPr>
            <w:r w:rsidRPr="00983D31">
              <w:rPr>
                <w:rFonts w:cs="Times New Roman"/>
                <w:bCs/>
                <w:sz w:val="18"/>
                <w:szCs w:val="18"/>
              </w:rPr>
              <w:t>CAATATAATGCGACTCATGG</w:t>
            </w:r>
            <w:r w:rsidRPr="00983D31">
              <w:rPr>
                <w:rFonts w:cs="Times New Roman"/>
                <w:bCs/>
                <w:sz w:val="18"/>
                <w:szCs w:val="18"/>
                <w:u w:val="single"/>
              </w:rPr>
              <w:t>GGG</w:t>
            </w:r>
          </w:p>
        </w:tc>
        <w:tc>
          <w:tcPr>
            <w:tcW w:w="4770" w:type="dxa"/>
            <w:gridSpan w:val="2"/>
            <w:vAlign w:val="center"/>
          </w:tcPr>
          <w:p w14:paraId="1EFDDF4D" w14:textId="4A4FF6B6" w:rsidR="00B8223C" w:rsidRPr="00983D31" w:rsidRDefault="00B8223C" w:rsidP="00B8223C">
            <w:pPr>
              <w:spacing w:line="240" w:lineRule="auto"/>
              <w:contextualSpacing/>
              <w:rPr>
                <w:sz w:val="18"/>
                <w:szCs w:val="18"/>
              </w:rPr>
            </w:pPr>
            <w:r w:rsidRPr="00983D31">
              <w:rPr>
                <w:rFonts w:cs="Times New Roman"/>
                <w:bCs/>
                <w:sz w:val="18"/>
                <w:szCs w:val="18"/>
              </w:rPr>
              <w:t>ATCAGTACATGGCCCCGCCG</w:t>
            </w:r>
            <w:r w:rsidRPr="00983D31">
              <w:rPr>
                <w:rFonts w:cs="Times New Roman"/>
                <w:bCs/>
                <w:sz w:val="18"/>
                <w:szCs w:val="18"/>
                <w:u w:val="single"/>
              </w:rPr>
              <w:t>GGG</w:t>
            </w:r>
          </w:p>
        </w:tc>
      </w:tr>
      <w:tr w:rsidR="00B8223C" w14:paraId="47DB10F0" w14:textId="77777777" w:rsidTr="00983D31">
        <w:trPr>
          <w:jc w:val="center"/>
        </w:trPr>
        <w:tc>
          <w:tcPr>
            <w:tcW w:w="1075" w:type="dxa"/>
            <w:vAlign w:val="center"/>
          </w:tcPr>
          <w:p w14:paraId="36D77544" w14:textId="6A6CF0C2" w:rsidR="00B8223C" w:rsidRPr="00983D31" w:rsidRDefault="00B8223C" w:rsidP="00B8223C">
            <w:pPr>
              <w:spacing w:line="240" w:lineRule="auto"/>
              <w:contextualSpacing/>
              <w:rPr>
                <w:sz w:val="20"/>
                <w:szCs w:val="20"/>
              </w:rPr>
            </w:pPr>
            <w:r w:rsidRPr="00983D31">
              <w:rPr>
                <w:rFonts w:cs="Times New Roman"/>
                <w:bCs/>
                <w:sz w:val="20"/>
                <w:szCs w:val="20"/>
              </w:rPr>
              <w:t xml:space="preserve">Primers </w:t>
            </w:r>
            <w:r w:rsidR="00983D31">
              <w:rPr>
                <w:rFonts w:cs="Times New Roman"/>
                <w:bCs/>
                <w:sz w:val="20"/>
                <w:szCs w:val="20"/>
              </w:rPr>
              <w:t>for</w:t>
            </w:r>
            <w:r w:rsidRPr="00983D31">
              <w:rPr>
                <w:rFonts w:cs="Times New Roman"/>
                <w:bCs/>
                <w:sz w:val="20"/>
                <w:szCs w:val="20"/>
              </w:rPr>
              <w:t xml:space="preserve"> px335 plasmid</w:t>
            </w:r>
            <w:r w:rsidR="00983D31">
              <w:rPr>
                <w:rFonts w:cs="Times New Roman"/>
                <w:bCs/>
                <w:sz w:val="20"/>
                <w:szCs w:val="20"/>
              </w:rPr>
              <w:t xml:space="preserve"> amplification</w:t>
            </w:r>
          </w:p>
        </w:tc>
        <w:tc>
          <w:tcPr>
            <w:tcW w:w="3420" w:type="dxa"/>
            <w:vAlign w:val="center"/>
          </w:tcPr>
          <w:p w14:paraId="02BA91C4" w14:textId="60351A16" w:rsidR="00B8223C" w:rsidRPr="00983D31" w:rsidRDefault="00B8223C" w:rsidP="00B8223C">
            <w:pPr>
              <w:spacing w:line="240" w:lineRule="auto"/>
              <w:contextualSpacing/>
              <w:rPr>
                <w:rFonts w:cs="Times New Roman"/>
                <w:sz w:val="18"/>
                <w:szCs w:val="18"/>
              </w:rPr>
            </w:pPr>
            <w:r w:rsidRPr="00983D31">
              <w:rPr>
                <w:rFonts w:cs="Times New Roman"/>
                <w:sz w:val="18"/>
                <w:szCs w:val="18"/>
              </w:rPr>
              <w:t>TTAATACGACTCACTATAGG</w:t>
            </w:r>
            <w:r w:rsidRPr="00983D31">
              <w:rPr>
                <w:rFonts w:cs="Times New Roman"/>
                <w:sz w:val="18"/>
                <w:szCs w:val="18"/>
                <w:u w:val="single"/>
              </w:rPr>
              <w:t>NNNNNNNNNNNNNNNNNNNN</w:t>
            </w:r>
            <w:r w:rsidR="00983D31" w:rsidRPr="00983D31">
              <w:rPr>
                <w:rFonts w:cs="Times New Roman"/>
                <w:sz w:val="18"/>
                <w:szCs w:val="18"/>
              </w:rPr>
              <w:t>GTTTTAGAGCTAGAAATAGC</w:t>
            </w:r>
            <w:r w:rsidR="00983D31">
              <w:rPr>
                <w:rFonts w:cs="Times New Roman"/>
                <w:sz w:val="18"/>
                <w:szCs w:val="18"/>
              </w:rPr>
              <w:t xml:space="preserve"> </w:t>
            </w:r>
            <w:r w:rsidRPr="00983D31">
              <w:rPr>
                <w:rFonts w:cs="Times New Roman"/>
                <w:sz w:val="16"/>
                <w:szCs w:val="16"/>
              </w:rPr>
              <w:t>(The underlined nucleotides were substituted with each gRNA sequence excluding the PAM sequence)</w:t>
            </w:r>
          </w:p>
        </w:tc>
        <w:tc>
          <w:tcPr>
            <w:tcW w:w="4770" w:type="dxa"/>
            <w:gridSpan w:val="2"/>
            <w:vAlign w:val="center"/>
          </w:tcPr>
          <w:p w14:paraId="4A76BA6F" w14:textId="1C2D8C58" w:rsidR="00B8223C" w:rsidRPr="00983D31" w:rsidRDefault="00B8223C" w:rsidP="00B8223C">
            <w:pPr>
              <w:spacing w:line="240" w:lineRule="auto"/>
              <w:contextualSpacing/>
              <w:rPr>
                <w:rFonts w:cs="Times New Roman"/>
                <w:bCs/>
                <w:sz w:val="18"/>
                <w:szCs w:val="18"/>
              </w:rPr>
            </w:pPr>
            <w:r w:rsidRPr="00983D31">
              <w:rPr>
                <w:rFonts w:cs="Times New Roman"/>
                <w:sz w:val="18"/>
                <w:szCs w:val="18"/>
              </w:rPr>
              <w:t>AGCACCGACTCGGTGCCACT</w:t>
            </w:r>
          </w:p>
        </w:tc>
      </w:tr>
    </w:tbl>
    <w:p w14:paraId="55BC77DB" w14:textId="489EEE5E" w:rsidR="00ED1B1B" w:rsidRPr="00425FCC" w:rsidRDefault="00ED1B1B" w:rsidP="00330D7B">
      <w:pPr>
        <w:widowControl w:val="0"/>
        <w:autoSpaceDE w:val="0"/>
        <w:autoSpaceDN w:val="0"/>
        <w:adjustRightInd w:val="0"/>
        <w:ind w:left="480" w:hanging="480"/>
        <w:rPr>
          <w:b/>
          <w:bCs/>
          <w:szCs w:val="22"/>
        </w:rPr>
      </w:pPr>
    </w:p>
    <w:sectPr w:rsidR="00ED1B1B" w:rsidRPr="00425FCC" w:rsidSect="00F97CA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2267" w14:textId="77777777" w:rsidR="00B5397F" w:rsidRDefault="00B5397F" w:rsidP="00C12AAD">
      <w:pPr>
        <w:spacing w:line="240" w:lineRule="auto"/>
      </w:pPr>
      <w:r>
        <w:separator/>
      </w:r>
    </w:p>
  </w:endnote>
  <w:endnote w:type="continuationSeparator" w:id="0">
    <w:p w14:paraId="16AFF72F" w14:textId="77777777" w:rsidR="00B5397F" w:rsidRDefault="00B5397F" w:rsidP="00C12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2142432"/>
      <w:docPartObj>
        <w:docPartGallery w:val="Page Numbers (Bottom of Page)"/>
        <w:docPartUnique/>
      </w:docPartObj>
    </w:sdtPr>
    <w:sdtEndPr>
      <w:rPr>
        <w:rStyle w:val="PageNumber"/>
      </w:rPr>
    </w:sdtEndPr>
    <w:sdtContent>
      <w:p w14:paraId="114881EE" w14:textId="04F3D5BF" w:rsidR="00C12AAD" w:rsidRDefault="00C12AAD" w:rsidP="00C003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34876E" w14:textId="77777777" w:rsidR="00C12AAD" w:rsidRDefault="00C12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6078100"/>
      <w:docPartObj>
        <w:docPartGallery w:val="Page Numbers (Bottom of Page)"/>
        <w:docPartUnique/>
      </w:docPartObj>
    </w:sdtPr>
    <w:sdtEndPr>
      <w:rPr>
        <w:rStyle w:val="PageNumber"/>
      </w:rPr>
    </w:sdtEndPr>
    <w:sdtContent>
      <w:p w14:paraId="73A9995F" w14:textId="7DCDC51E" w:rsidR="00C12AAD" w:rsidRDefault="00C12AAD" w:rsidP="00C003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D03AB7E" w14:textId="77777777" w:rsidR="00C12AAD" w:rsidRDefault="00C12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C5947" w14:textId="77777777" w:rsidR="00B5397F" w:rsidRDefault="00B5397F" w:rsidP="00C12AAD">
      <w:pPr>
        <w:spacing w:line="240" w:lineRule="auto"/>
      </w:pPr>
      <w:r>
        <w:separator/>
      </w:r>
    </w:p>
  </w:footnote>
  <w:footnote w:type="continuationSeparator" w:id="0">
    <w:p w14:paraId="3E0BFF25" w14:textId="77777777" w:rsidR="00B5397F" w:rsidRDefault="00B5397F" w:rsidP="00C12A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3C"/>
    <w:rsid w:val="00010F50"/>
    <w:rsid w:val="0002533E"/>
    <w:rsid w:val="00044ED2"/>
    <w:rsid w:val="000A1AF0"/>
    <w:rsid w:val="000C180F"/>
    <w:rsid w:val="000D3A82"/>
    <w:rsid w:val="000D4B7B"/>
    <w:rsid w:val="000E7724"/>
    <w:rsid w:val="000F6DF4"/>
    <w:rsid w:val="00107896"/>
    <w:rsid w:val="0014260E"/>
    <w:rsid w:val="0014585C"/>
    <w:rsid w:val="00156B56"/>
    <w:rsid w:val="0017362A"/>
    <w:rsid w:val="0017579E"/>
    <w:rsid w:val="001B1DDA"/>
    <w:rsid w:val="001F254B"/>
    <w:rsid w:val="002010F3"/>
    <w:rsid w:val="00210911"/>
    <w:rsid w:val="00216CD3"/>
    <w:rsid w:val="00234812"/>
    <w:rsid w:val="002D6C48"/>
    <w:rsid w:val="00323FF3"/>
    <w:rsid w:val="003270A3"/>
    <w:rsid w:val="00330D7B"/>
    <w:rsid w:val="00334FC1"/>
    <w:rsid w:val="00372E11"/>
    <w:rsid w:val="00384BBE"/>
    <w:rsid w:val="003B3EB5"/>
    <w:rsid w:val="003F1838"/>
    <w:rsid w:val="003F254C"/>
    <w:rsid w:val="00400E74"/>
    <w:rsid w:val="00425FCC"/>
    <w:rsid w:val="00431F27"/>
    <w:rsid w:val="0049629B"/>
    <w:rsid w:val="004A60F2"/>
    <w:rsid w:val="004C63DA"/>
    <w:rsid w:val="004D4135"/>
    <w:rsid w:val="004E20EE"/>
    <w:rsid w:val="00536737"/>
    <w:rsid w:val="00543276"/>
    <w:rsid w:val="00556EBA"/>
    <w:rsid w:val="005710F2"/>
    <w:rsid w:val="00572B49"/>
    <w:rsid w:val="00583058"/>
    <w:rsid w:val="005945D4"/>
    <w:rsid w:val="0059597E"/>
    <w:rsid w:val="005B41B3"/>
    <w:rsid w:val="005C19B1"/>
    <w:rsid w:val="005E1184"/>
    <w:rsid w:val="005E4765"/>
    <w:rsid w:val="0061315A"/>
    <w:rsid w:val="00614281"/>
    <w:rsid w:val="006327BC"/>
    <w:rsid w:val="00656FEA"/>
    <w:rsid w:val="0066207A"/>
    <w:rsid w:val="00667113"/>
    <w:rsid w:val="00685D5C"/>
    <w:rsid w:val="006A3818"/>
    <w:rsid w:val="006C07FB"/>
    <w:rsid w:val="006C61C7"/>
    <w:rsid w:val="007008A8"/>
    <w:rsid w:val="00711609"/>
    <w:rsid w:val="0072199C"/>
    <w:rsid w:val="00726F87"/>
    <w:rsid w:val="00755F8B"/>
    <w:rsid w:val="00757FC1"/>
    <w:rsid w:val="007627ED"/>
    <w:rsid w:val="007731DA"/>
    <w:rsid w:val="00780A68"/>
    <w:rsid w:val="0079383C"/>
    <w:rsid w:val="00796D45"/>
    <w:rsid w:val="007D08DF"/>
    <w:rsid w:val="00803173"/>
    <w:rsid w:val="00882E28"/>
    <w:rsid w:val="008866D2"/>
    <w:rsid w:val="00887352"/>
    <w:rsid w:val="00920C46"/>
    <w:rsid w:val="00926AE8"/>
    <w:rsid w:val="00932173"/>
    <w:rsid w:val="0093623C"/>
    <w:rsid w:val="00963AA0"/>
    <w:rsid w:val="00965F62"/>
    <w:rsid w:val="00974824"/>
    <w:rsid w:val="00983D31"/>
    <w:rsid w:val="00986015"/>
    <w:rsid w:val="009B045D"/>
    <w:rsid w:val="009C3D45"/>
    <w:rsid w:val="009C58E5"/>
    <w:rsid w:val="009D52BE"/>
    <w:rsid w:val="009E6AAE"/>
    <w:rsid w:val="009E6BD1"/>
    <w:rsid w:val="009F202D"/>
    <w:rsid w:val="00A02C88"/>
    <w:rsid w:val="00A2357E"/>
    <w:rsid w:val="00A43078"/>
    <w:rsid w:val="00A5284E"/>
    <w:rsid w:val="00A63CCE"/>
    <w:rsid w:val="00A6406F"/>
    <w:rsid w:val="00AA2A28"/>
    <w:rsid w:val="00AB6DB6"/>
    <w:rsid w:val="00AC4637"/>
    <w:rsid w:val="00AD71C8"/>
    <w:rsid w:val="00AF5C0E"/>
    <w:rsid w:val="00B35C41"/>
    <w:rsid w:val="00B5397F"/>
    <w:rsid w:val="00B71410"/>
    <w:rsid w:val="00B73B55"/>
    <w:rsid w:val="00B75856"/>
    <w:rsid w:val="00B8223C"/>
    <w:rsid w:val="00B84D7B"/>
    <w:rsid w:val="00BB0782"/>
    <w:rsid w:val="00BC1E24"/>
    <w:rsid w:val="00BE0773"/>
    <w:rsid w:val="00C07868"/>
    <w:rsid w:val="00C12AAD"/>
    <w:rsid w:val="00C21A93"/>
    <w:rsid w:val="00C36BB7"/>
    <w:rsid w:val="00C36F57"/>
    <w:rsid w:val="00C40CDF"/>
    <w:rsid w:val="00C51523"/>
    <w:rsid w:val="00C57207"/>
    <w:rsid w:val="00C757F9"/>
    <w:rsid w:val="00CC1B5A"/>
    <w:rsid w:val="00CC523E"/>
    <w:rsid w:val="00CD231F"/>
    <w:rsid w:val="00CD39E1"/>
    <w:rsid w:val="00CD5C09"/>
    <w:rsid w:val="00CF4792"/>
    <w:rsid w:val="00D3274A"/>
    <w:rsid w:val="00D61C62"/>
    <w:rsid w:val="00D82659"/>
    <w:rsid w:val="00DA1B99"/>
    <w:rsid w:val="00DB3474"/>
    <w:rsid w:val="00E008F6"/>
    <w:rsid w:val="00E05439"/>
    <w:rsid w:val="00E15456"/>
    <w:rsid w:val="00E236AC"/>
    <w:rsid w:val="00E72688"/>
    <w:rsid w:val="00E74036"/>
    <w:rsid w:val="00E75E34"/>
    <w:rsid w:val="00EA008D"/>
    <w:rsid w:val="00EC26B7"/>
    <w:rsid w:val="00ED0DF8"/>
    <w:rsid w:val="00ED1B1B"/>
    <w:rsid w:val="00ED340D"/>
    <w:rsid w:val="00EF4783"/>
    <w:rsid w:val="00EF748B"/>
    <w:rsid w:val="00F10BA6"/>
    <w:rsid w:val="00F217CD"/>
    <w:rsid w:val="00F348B9"/>
    <w:rsid w:val="00F43BCB"/>
    <w:rsid w:val="00F52E45"/>
    <w:rsid w:val="00F61E9A"/>
    <w:rsid w:val="00F6719E"/>
    <w:rsid w:val="00F8274D"/>
    <w:rsid w:val="00F82823"/>
    <w:rsid w:val="00F97CAB"/>
    <w:rsid w:val="00FA4E34"/>
    <w:rsid w:val="00FC569F"/>
    <w:rsid w:val="00FE19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1776"/>
  <w15:chartTrackingRefBased/>
  <w15:docId w15:val="{69E2300C-E5A7-7443-A005-F14CFC50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3C"/>
    <w:pPr>
      <w:spacing w:line="480" w:lineRule="auto"/>
    </w:pPr>
    <w:rPr>
      <w:rFonts w:ascii="Times New Roman" w:hAnsi="Times New Roman"/>
      <w:sz w:val="22"/>
    </w:rPr>
  </w:style>
  <w:style w:type="paragraph" w:styleId="Heading2">
    <w:name w:val="heading 2"/>
    <w:basedOn w:val="Normal"/>
    <w:next w:val="Normal"/>
    <w:link w:val="Heading2Char"/>
    <w:uiPriority w:val="9"/>
    <w:unhideWhenUsed/>
    <w:qFormat/>
    <w:rsid w:val="0072199C"/>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qFormat/>
    <w:rsid w:val="0093623C"/>
    <w:rPr>
      <w:rFonts w:cs="Times New Roman"/>
      <w:b/>
    </w:rPr>
  </w:style>
  <w:style w:type="paragraph" w:styleId="BalloonText">
    <w:name w:val="Balloon Text"/>
    <w:basedOn w:val="Normal"/>
    <w:link w:val="BalloonTextChar"/>
    <w:uiPriority w:val="99"/>
    <w:semiHidden/>
    <w:unhideWhenUsed/>
    <w:rsid w:val="00010F50"/>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010F50"/>
    <w:rPr>
      <w:rFonts w:ascii="Times New Roman" w:hAnsi="Times New Roman" w:cs="Times New Roman"/>
      <w:sz w:val="18"/>
      <w:szCs w:val="18"/>
    </w:rPr>
  </w:style>
  <w:style w:type="table" w:styleId="TableGrid">
    <w:name w:val="Table Grid"/>
    <w:basedOn w:val="TableNormal"/>
    <w:uiPriority w:val="39"/>
    <w:rsid w:val="00010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0F50"/>
    <w:pPr>
      <w:spacing w:before="100" w:beforeAutospacing="1" w:after="100" w:afterAutospacing="1"/>
    </w:pPr>
    <w:rPr>
      <w:rFonts w:cs="Times New Roman"/>
    </w:rPr>
  </w:style>
  <w:style w:type="paragraph" w:customStyle="1" w:styleId="Tableheadings">
    <w:name w:val="Table headings"/>
    <w:basedOn w:val="Normal"/>
    <w:qFormat/>
    <w:rsid w:val="00010F50"/>
    <w:rPr>
      <w:rFonts w:cs="Times New Roman"/>
      <w:b/>
      <w:color w:val="000000" w:themeColor="text1"/>
    </w:rPr>
  </w:style>
  <w:style w:type="paragraph" w:styleId="ListParagraph">
    <w:name w:val="List Paragraph"/>
    <w:basedOn w:val="Normal"/>
    <w:uiPriority w:val="34"/>
    <w:qFormat/>
    <w:rsid w:val="00CC1B5A"/>
    <w:pPr>
      <w:ind w:left="720"/>
      <w:contextualSpacing/>
    </w:pPr>
  </w:style>
  <w:style w:type="paragraph" w:styleId="Revision">
    <w:name w:val="Revision"/>
    <w:hidden/>
    <w:uiPriority w:val="99"/>
    <w:semiHidden/>
    <w:rsid w:val="006C61C7"/>
    <w:rPr>
      <w:rFonts w:ascii="Times New Roman" w:hAnsi="Times New Roman"/>
      <w:sz w:val="22"/>
    </w:rPr>
  </w:style>
  <w:style w:type="character" w:styleId="CommentReference">
    <w:name w:val="annotation reference"/>
    <w:basedOn w:val="DefaultParagraphFont"/>
    <w:uiPriority w:val="99"/>
    <w:semiHidden/>
    <w:unhideWhenUsed/>
    <w:rsid w:val="006C61C7"/>
    <w:rPr>
      <w:sz w:val="16"/>
      <w:szCs w:val="16"/>
    </w:rPr>
  </w:style>
  <w:style w:type="paragraph" w:styleId="CommentText">
    <w:name w:val="annotation text"/>
    <w:basedOn w:val="Normal"/>
    <w:link w:val="CommentTextChar"/>
    <w:uiPriority w:val="99"/>
    <w:semiHidden/>
    <w:unhideWhenUsed/>
    <w:rsid w:val="006C61C7"/>
    <w:pPr>
      <w:spacing w:line="240" w:lineRule="auto"/>
    </w:pPr>
    <w:rPr>
      <w:sz w:val="20"/>
      <w:szCs w:val="20"/>
    </w:rPr>
  </w:style>
  <w:style w:type="character" w:customStyle="1" w:styleId="CommentTextChar">
    <w:name w:val="Comment Text Char"/>
    <w:basedOn w:val="DefaultParagraphFont"/>
    <w:link w:val="CommentText"/>
    <w:uiPriority w:val="99"/>
    <w:semiHidden/>
    <w:rsid w:val="006C61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61C7"/>
    <w:rPr>
      <w:b/>
      <w:bCs/>
    </w:rPr>
  </w:style>
  <w:style w:type="character" w:customStyle="1" w:styleId="CommentSubjectChar">
    <w:name w:val="Comment Subject Char"/>
    <w:basedOn w:val="CommentTextChar"/>
    <w:link w:val="CommentSubject"/>
    <w:uiPriority w:val="99"/>
    <w:semiHidden/>
    <w:rsid w:val="006C61C7"/>
    <w:rPr>
      <w:rFonts w:ascii="Times New Roman" w:hAnsi="Times New Roman"/>
      <w:b/>
      <w:bCs/>
      <w:sz w:val="20"/>
      <w:szCs w:val="20"/>
    </w:rPr>
  </w:style>
  <w:style w:type="character" w:customStyle="1" w:styleId="Heading2Char">
    <w:name w:val="Heading 2 Char"/>
    <w:basedOn w:val="DefaultParagraphFont"/>
    <w:link w:val="Heading2"/>
    <w:uiPriority w:val="9"/>
    <w:rsid w:val="0072199C"/>
    <w:rPr>
      <w:rFonts w:ascii="Times New Roman" w:eastAsiaTheme="majorEastAsia" w:hAnsi="Times New Roman" w:cstheme="majorBidi"/>
      <w:b/>
      <w:color w:val="000000" w:themeColor="text1"/>
      <w:sz w:val="22"/>
      <w:szCs w:val="26"/>
    </w:rPr>
  </w:style>
  <w:style w:type="character" w:styleId="FootnoteReference">
    <w:name w:val="footnote reference"/>
    <w:basedOn w:val="DefaultParagraphFont"/>
    <w:uiPriority w:val="99"/>
    <w:semiHidden/>
    <w:unhideWhenUsed/>
    <w:rsid w:val="0072199C"/>
    <w:rPr>
      <w:vertAlign w:val="superscript"/>
    </w:rPr>
  </w:style>
  <w:style w:type="paragraph" w:styleId="Header">
    <w:name w:val="header"/>
    <w:basedOn w:val="Normal"/>
    <w:link w:val="HeaderChar"/>
    <w:uiPriority w:val="99"/>
    <w:unhideWhenUsed/>
    <w:rsid w:val="00C12AAD"/>
    <w:pPr>
      <w:tabs>
        <w:tab w:val="center" w:pos="4680"/>
        <w:tab w:val="right" w:pos="9360"/>
      </w:tabs>
      <w:spacing w:line="240" w:lineRule="auto"/>
    </w:pPr>
  </w:style>
  <w:style w:type="character" w:customStyle="1" w:styleId="HeaderChar">
    <w:name w:val="Header Char"/>
    <w:basedOn w:val="DefaultParagraphFont"/>
    <w:link w:val="Header"/>
    <w:uiPriority w:val="99"/>
    <w:rsid w:val="00C12AAD"/>
    <w:rPr>
      <w:rFonts w:ascii="Times New Roman" w:hAnsi="Times New Roman"/>
      <w:sz w:val="22"/>
    </w:rPr>
  </w:style>
  <w:style w:type="paragraph" w:styleId="Footer">
    <w:name w:val="footer"/>
    <w:basedOn w:val="Normal"/>
    <w:link w:val="FooterChar"/>
    <w:uiPriority w:val="99"/>
    <w:unhideWhenUsed/>
    <w:rsid w:val="00C12AAD"/>
    <w:pPr>
      <w:tabs>
        <w:tab w:val="center" w:pos="4680"/>
        <w:tab w:val="right" w:pos="9360"/>
      </w:tabs>
      <w:spacing w:line="240" w:lineRule="auto"/>
    </w:pPr>
  </w:style>
  <w:style w:type="character" w:customStyle="1" w:styleId="FooterChar">
    <w:name w:val="Footer Char"/>
    <w:basedOn w:val="DefaultParagraphFont"/>
    <w:link w:val="Footer"/>
    <w:uiPriority w:val="99"/>
    <w:rsid w:val="00C12AAD"/>
    <w:rPr>
      <w:rFonts w:ascii="Times New Roman" w:hAnsi="Times New Roman"/>
      <w:sz w:val="22"/>
    </w:rPr>
  </w:style>
  <w:style w:type="character" w:styleId="PageNumber">
    <w:name w:val="page number"/>
    <w:basedOn w:val="DefaultParagraphFont"/>
    <w:uiPriority w:val="99"/>
    <w:semiHidden/>
    <w:unhideWhenUsed/>
    <w:rsid w:val="00C12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78790">
      <w:bodyDiv w:val="1"/>
      <w:marLeft w:val="0"/>
      <w:marRight w:val="0"/>
      <w:marTop w:val="0"/>
      <w:marBottom w:val="0"/>
      <w:divBdr>
        <w:top w:val="none" w:sz="0" w:space="0" w:color="auto"/>
        <w:left w:val="none" w:sz="0" w:space="0" w:color="auto"/>
        <w:bottom w:val="none" w:sz="0" w:space="0" w:color="auto"/>
        <w:right w:val="none" w:sz="0" w:space="0" w:color="auto"/>
      </w:divBdr>
    </w:div>
    <w:div w:id="1278831025">
      <w:bodyDiv w:val="1"/>
      <w:marLeft w:val="0"/>
      <w:marRight w:val="0"/>
      <w:marTop w:val="0"/>
      <w:marBottom w:val="0"/>
      <w:divBdr>
        <w:top w:val="none" w:sz="0" w:space="0" w:color="auto"/>
        <w:left w:val="none" w:sz="0" w:space="0" w:color="auto"/>
        <w:bottom w:val="none" w:sz="0" w:space="0" w:color="auto"/>
        <w:right w:val="none" w:sz="0" w:space="0" w:color="auto"/>
      </w:divBdr>
    </w:div>
    <w:div w:id="1357345071">
      <w:bodyDiv w:val="1"/>
      <w:marLeft w:val="0"/>
      <w:marRight w:val="0"/>
      <w:marTop w:val="0"/>
      <w:marBottom w:val="0"/>
      <w:divBdr>
        <w:top w:val="none" w:sz="0" w:space="0" w:color="auto"/>
        <w:left w:val="none" w:sz="0" w:space="0" w:color="auto"/>
        <w:bottom w:val="none" w:sz="0" w:space="0" w:color="auto"/>
        <w:right w:val="none" w:sz="0" w:space="0" w:color="auto"/>
      </w:divBdr>
    </w:div>
    <w:div w:id="1476293481">
      <w:bodyDiv w:val="1"/>
      <w:marLeft w:val="0"/>
      <w:marRight w:val="0"/>
      <w:marTop w:val="0"/>
      <w:marBottom w:val="0"/>
      <w:divBdr>
        <w:top w:val="none" w:sz="0" w:space="0" w:color="auto"/>
        <w:left w:val="none" w:sz="0" w:space="0" w:color="auto"/>
        <w:bottom w:val="none" w:sz="0" w:space="0" w:color="auto"/>
        <w:right w:val="none" w:sz="0" w:space="0" w:color="auto"/>
      </w:divBdr>
    </w:div>
    <w:div w:id="1671526009">
      <w:bodyDiv w:val="1"/>
      <w:marLeft w:val="0"/>
      <w:marRight w:val="0"/>
      <w:marTop w:val="0"/>
      <w:marBottom w:val="0"/>
      <w:divBdr>
        <w:top w:val="none" w:sz="0" w:space="0" w:color="auto"/>
        <w:left w:val="none" w:sz="0" w:space="0" w:color="auto"/>
        <w:bottom w:val="none" w:sz="0" w:space="0" w:color="auto"/>
        <w:right w:val="none" w:sz="0" w:space="0" w:color="auto"/>
      </w:divBdr>
    </w:div>
    <w:div w:id="1974291843">
      <w:bodyDiv w:val="1"/>
      <w:marLeft w:val="0"/>
      <w:marRight w:val="0"/>
      <w:marTop w:val="0"/>
      <w:marBottom w:val="0"/>
      <w:divBdr>
        <w:top w:val="none" w:sz="0" w:space="0" w:color="auto"/>
        <w:left w:val="none" w:sz="0" w:space="0" w:color="auto"/>
        <w:bottom w:val="none" w:sz="0" w:space="0" w:color="auto"/>
        <w:right w:val="none" w:sz="0" w:space="0" w:color="auto"/>
      </w:divBdr>
    </w:div>
    <w:div w:id="207921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93431-3599-244D-B4CA-74DBF4E5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ChangSuhee</dc:creator>
  <cp:keywords/>
  <dc:description/>
  <cp:lastModifiedBy>Suhee Chang</cp:lastModifiedBy>
  <cp:revision>3</cp:revision>
  <dcterms:created xsi:type="dcterms:W3CDTF">2022-10-27T04:45:00Z</dcterms:created>
  <dcterms:modified xsi:type="dcterms:W3CDTF">2022-10-31T00:02:00Z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150c0d94-631c-392f-a64c-aa13a136a1ce</vt:lpwstr>
  </property>
  <property fmtid="{D5CDD505-2E9C-101B-9397-08002B2CF9AE}" pid="4" name="Mendeley Citation Style_1">
    <vt:lpwstr>http://csl.mendeley.com/styles/490255821/apa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http://csl.mendeley.com/styles/490255821/apa</vt:lpwstr>
  </property>
  <property fmtid="{D5CDD505-2E9C-101B-9397-08002B2CF9AE}" pid="10" name="Mendeley Recent Style Name 2_1">
    <vt:lpwstr>American Psychological Association 7th edition - Suhee Chang</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http://www.zotero.org/styles/genes-and-development</vt:lpwstr>
  </property>
  <property fmtid="{D5CDD505-2E9C-101B-9397-08002B2CF9AE}" pid="16" name="Mendeley Recent Style Name 5_1">
    <vt:lpwstr>Genes &amp; Development</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