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27</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Table 1, page 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tl w:val="0"/>
              </w:rPr>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“Study Approvals, Registration, and Pre-Analysis Plan” section, page 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sz w:val="18"/>
                <w:szCs w:val="18"/>
              </w:rPr>
            </w:pPr>
            <w:r w:rsidDel="00000000" w:rsidR="00000000" w:rsidRPr="00000000">
              <w:rPr>
                <w:rFonts w:ascii="Noto Sans" w:cs="Noto Sans" w:eastAsia="Noto Sans" w:hAnsi="Noto Sans"/>
                <w:b w:val="1"/>
                <w:color w:val="434343"/>
                <w:sz w:val="18"/>
                <w:szCs w:val="18"/>
                <w:rtl w:val="0"/>
              </w:rPr>
              <w:t xml:space="preserve">Laboratory </w:t>
            </w:r>
            <w:r w:rsidDel="00000000" w:rsidR="00000000" w:rsidRPr="00000000">
              <w:rPr>
                <w:rFonts w:ascii="Noto Sans" w:cs="Noto Sans" w:eastAsia="Noto Sans" w:hAnsi="Noto Sans"/>
                <w:b w:val="1"/>
                <w:sz w:val="18"/>
                <w:szCs w:val="18"/>
                <w:rtl w:val="0"/>
              </w:rPr>
              <w:t xml:space="preserve">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t>
            </w:r>
            <w:r w:rsidDel="00000000" w:rsidR="00000000" w:rsidRPr="00000000">
              <w:rPr>
                <w:rFonts w:ascii="Noto Sans" w:cs="Noto Sans" w:eastAsia="Noto Sans" w:hAnsi="Noto Sans"/>
                <w:sz w:val="18"/>
                <w:szCs w:val="18"/>
                <w:rtl w:val="0"/>
              </w:rPr>
              <w:t xml:space="preserve">Participant Recruitment”, page 21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w:t>
            </w:r>
            <w:r w:rsidDel="00000000" w:rsidR="00000000" w:rsidRPr="00000000">
              <w:rPr>
                <w:rFonts w:ascii="Noto Sans" w:cs="Noto Sans" w:eastAsia="Noto Sans" w:hAnsi="Noto Sans"/>
                <w:sz w:val="18"/>
                <w:szCs w:val="18"/>
                <w:rtl w:val="0"/>
              </w:rPr>
              <w:t xml:space="preserve">Randomization and Blinding”, page 22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tl w:val="0"/>
              </w:rPr>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“Randomization and Blinding”, page 22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w:t>
            </w:r>
            <w:r w:rsidDel="00000000" w:rsidR="00000000" w:rsidRPr="00000000">
              <w:rPr>
                <w:rFonts w:ascii="Noto Sans" w:cs="Noto Sans" w:eastAsia="Noto Sans" w:hAnsi="Noto Sans"/>
                <w:sz w:val="18"/>
                <w:szCs w:val="18"/>
                <w:rtl w:val="0"/>
              </w:rPr>
              <w:t xml:space="preserve">Study Population, Eligibility, Inclusion, and Exclusion Criteria”, </w:t>
            </w:r>
          </w:p>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C">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“Study Approvals, Registration, and Pre-Analysis Plan” section, page 20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E">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F">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A0">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shd w:fill="f2f2f2" w:val="clear"/>
              </w:rPr>
            </w:pPr>
            <w:r w:rsidDel="00000000" w:rsidR="00000000" w:rsidRPr="00000000">
              <w:rPr>
                <w:rFonts w:ascii="Noto Sans" w:cs="Noto Sans" w:eastAsia="Noto Sans" w:hAnsi="Noto Sans"/>
                <w:b w:val="1"/>
                <w:color w:val="434343"/>
                <w:sz w:val="18"/>
                <w:szCs w:val="18"/>
                <w:shd w:fill="f2f2f2" w:val="clear"/>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w:t>
            </w:r>
            <w:r w:rsidDel="00000000" w:rsidR="00000000" w:rsidRPr="00000000">
              <w:rPr>
                <w:rFonts w:ascii="Noto Sans" w:cs="Noto Sans" w:eastAsia="Noto Sans" w:hAnsi="Noto Sans"/>
                <w:sz w:val="18"/>
                <w:szCs w:val="18"/>
                <w:rtl w:val="0"/>
              </w:rPr>
              <w:t xml:space="preserve">Study Population, Eligibility, Inclusion, and Exclusion Criteria”, page 21</w:t>
            </w:r>
          </w:p>
          <w:p w:rsidR="00000000" w:rsidDel="00000000" w:rsidP="00000000" w:rsidRDefault="00000000" w:rsidRPr="00000000" w14:paraId="000000A6">
            <w:pPr>
              <w:rPr>
                <w:rFonts w:ascii="Noto Sans" w:cs="Noto Sans" w:eastAsia="Noto Sans" w:hAnsi="Noto Sans"/>
                <w:color w:val="434343"/>
                <w:sz w:val="18"/>
                <w:szCs w:val="18"/>
              </w:rPr>
            </w:pPr>
            <w:bookmarkStart w:colFirst="0" w:colLast="0" w:name="_heading=h.jz8ncgwuq0lm" w:id="2"/>
            <w:bookmarkEnd w:id="2"/>
            <w:r w:rsidDel="00000000" w:rsidR="00000000" w:rsidRPr="00000000">
              <w:rPr>
                <w:rtl w:val="0"/>
              </w:rPr>
              <w:t xml:space="preserve">“</w:t>
            </w:r>
            <w:r w:rsidDel="00000000" w:rsidR="00000000" w:rsidRPr="00000000">
              <w:rPr>
                <w:rFonts w:ascii="Noto Sans" w:cs="Noto Sans" w:eastAsia="Noto Sans" w:hAnsi="Noto Sans"/>
                <w:sz w:val="18"/>
                <w:szCs w:val="18"/>
                <w:rtl w:val="0"/>
              </w:rPr>
              <w:t xml:space="preserve">Missing Data”, page 25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9">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A">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Table 2, page 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2">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3">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and materials availability”, page 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and materials availability”, page 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1">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and materials availability”, page 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spacing w:line="225" w:lineRule="auto"/>
              <w:rPr>
                <w:rFonts w:ascii="Noto Sans" w:cs="Noto Sans" w:eastAsia="Noto Sans" w:hAnsi="Noto Sans"/>
                <w:color w:val="434343"/>
              </w:rPr>
            </w:pPr>
            <w:r w:rsidDel="00000000" w:rsidR="00000000" w:rsidRPr="00000000">
              <w:rPr>
                <w:rFonts w:ascii="Noto Sans" w:cs="Noto Sans" w:eastAsia="Noto Sans" w:hAnsi="Noto Sans"/>
                <w:color w:val="434343"/>
                <w:sz w:val="18"/>
                <w:szCs w:val="18"/>
                <w:rtl w:val="0"/>
              </w:rPr>
              <w:t xml:space="preserve">“Data and materials availability”, page 27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CF">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D0">
      <w:pPr>
        <w:spacing w:before="60" w:line="227" w:lineRule="auto"/>
        <w:rPr>
          <w:rFonts w:ascii="Noto Sans" w:cs="Noto Sans" w:eastAsia="Noto Sans" w:hAnsi="Noto Sans"/>
          <w:b w:val="1"/>
          <w:color w:val="434343"/>
          <w:sz w:val="24"/>
          <w:szCs w:val="24"/>
        </w:rPr>
      </w:pPr>
      <w:bookmarkStart w:colFirst="0" w:colLast="0" w:name="_heading=h.1fob9te" w:id="3"/>
      <w:bookmarkEnd w:id="3"/>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D1">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2">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CONSORT checklist, as well as the CONSORT flow diagram,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D9">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A">
      <w:pPr>
        <w:spacing w:before="80" w:lineRule="auto"/>
        <w:rPr/>
      </w:pPr>
      <w:bookmarkStart w:colFirst="0" w:colLast="0" w:name="_heading=h.3znysh7"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Sample-size estimation</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E0">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E1">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Replicates</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8">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9">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Statistical reporting</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E">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F">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Group allocation</w:t>
      </w:r>
    </w:p>
    <w:p w:rsidR="00000000" w:rsidDel="00000000" w:rsidP="00000000" w:rsidRDefault="00000000" w:rsidRPr="00000000" w14:paraId="000000F2">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3">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5"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6"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Qk3wrMoupZaWzYkeTuOs69NfZg==">AMUW2mVizgfSTAhalpTJGzFoLVx6xPIa7JAStZhv9Mw54H5KMiG7MMUyXswyUiYsArgJHmPhvx0i//w2UQlRfq72Dp+5vBfWMTYYGA1ujDovxZXUC9/eWtIBtPYzFKGyfgzkejDN2qIJYM+Nkyau3BTctLcfEcg9nVg136k42SfVmeaSAiKHoT3FsZCD7hCThMb2/ptQRB6G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