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C4BE" w14:textId="4C6759B4" w:rsidR="00C718E8" w:rsidRPr="009E436F" w:rsidRDefault="008617DE" w:rsidP="009E436F">
      <w:pPr>
        <w:pStyle w:val="Heading1"/>
        <w:jc w:val="center"/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>Supplement</w:t>
      </w:r>
      <w:r w:rsidR="003C6F8D" w:rsidRPr="009E436F">
        <w:rPr>
          <w:rFonts w:ascii="Times New Roman" w:hAnsi="Times New Roman" w:cs="Times New Roman"/>
        </w:rPr>
        <w:t>ary information for</w:t>
      </w:r>
    </w:p>
    <w:p w14:paraId="37DEDB51" w14:textId="77777777" w:rsidR="00CA052C" w:rsidRDefault="00CA052C" w:rsidP="00085B2C">
      <w:pPr>
        <w:rPr>
          <w:rFonts w:ascii="Times New Roman" w:hAnsi="Times New Roman" w:cs="Times New Roman"/>
        </w:rPr>
      </w:pPr>
      <w:r w:rsidRPr="00CA052C">
        <w:rPr>
          <w:rFonts w:ascii="Times New Roman" w:hAnsi="Times New Roman" w:cs="Times New Roman"/>
        </w:rPr>
        <w:t>Protein evidence of unannotated ORFs in Drosophila reveals diversity in the evolution and properties of young proteins</w:t>
      </w:r>
    </w:p>
    <w:p w14:paraId="776C8080" w14:textId="7B9074CF" w:rsidR="00085B2C" w:rsidRPr="009E436F" w:rsidRDefault="00085B2C" w:rsidP="00085B2C">
      <w:pPr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>Eric Bo Zheng</w:t>
      </w:r>
      <w:r w:rsidRPr="009E436F">
        <w:rPr>
          <w:rFonts w:ascii="Times New Roman" w:hAnsi="Times New Roman" w:cs="Times New Roman"/>
          <w:vertAlign w:val="superscript"/>
        </w:rPr>
        <w:t>1</w:t>
      </w:r>
      <w:r w:rsidRPr="009E436F">
        <w:rPr>
          <w:rFonts w:ascii="Times New Roman" w:hAnsi="Times New Roman" w:cs="Times New Roman"/>
        </w:rPr>
        <w:t>, Li Zhao</w:t>
      </w:r>
      <w:r w:rsidRPr="009E436F">
        <w:rPr>
          <w:rFonts w:ascii="Times New Roman" w:hAnsi="Times New Roman" w:cs="Times New Roman"/>
          <w:vertAlign w:val="superscript"/>
        </w:rPr>
        <w:t>1*</w:t>
      </w:r>
    </w:p>
    <w:p w14:paraId="188A9EBF" w14:textId="77777777" w:rsidR="00085B2C" w:rsidRPr="009E436F" w:rsidRDefault="00085B2C" w:rsidP="00085B2C">
      <w:pPr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 xml:space="preserve">Affiliations: </w:t>
      </w:r>
      <w:r w:rsidRPr="009E436F">
        <w:rPr>
          <w:rFonts w:ascii="Times New Roman" w:hAnsi="Times New Roman" w:cs="Times New Roman"/>
          <w:vertAlign w:val="superscript"/>
        </w:rPr>
        <w:t>1</w:t>
      </w:r>
      <w:r w:rsidRPr="009E436F">
        <w:rPr>
          <w:rFonts w:ascii="Times New Roman" w:hAnsi="Times New Roman" w:cs="Times New Roman"/>
        </w:rPr>
        <w:t>Laboratory of Evolutionary Genetics and Genomics, The Rockefeller University, New York, NY 10065, USA</w:t>
      </w:r>
    </w:p>
    <w:p w14:paraId="01B5BA05" w14:textId="2BF8BC9F" w:rsidR="00D33B08" w:rsidRPr="009E436F" w:rsidRDefault="00085B2C" w:rsidP="00BC0C08">
      <w:pPr>
        <w:tabs>
          <w:tab w:val="left" w:pos="4899"/>
        </w:tabs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 xml:space="preserve">*Correspondence to: </w:t>
      </w:r>
      <w:hyperlink r:id="rId7" w:history="1">
        <w:r w:rsidR="00D33B08" w:rsidRPr="009E436F">
          <w:rPr>
            <w:rStyle w:val="Hyperlink"/>
            <w:rFonts w:ascii="Times New Roman" w:hAnsi="Times New Roman" w:cs="Times New Roman"/>
          </w:rPr>
          <w:t>lzhao@rockefeller.edu</w:t>
        </w:r>
      </w:hyperlink>
    </w:p>
    <w:p w14:paraId="2D353AF2" w14:textId="077BB4C8" w:rsidR="00914052" w:rsidRPr="009E436F" w:rsidRDefault="00914052" w:rsidP="00914052">
      <w:pPr>
        <w:pStyle w:val="FirstParagraph"/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  <w:b/>
        </w:rPr>
        <w:t>Supplemental Table 1</w:t>
      </w:r>
      <w:r w:rsidR="00A57142">
        <w:rPr>
          <w:rFonts w:ascii="Times New Roman" w:hAnsi="Times New Roman" w:cs="Times New Roman"/>
          <w:b/>
        </w:rPr>
        <w:t>A</w:t>
      </w:r>
      <w:r w:rsidRPr="009E436F">
        <w:rPr>
          <w:rFonts w:ascii="Times New Roman" w:hAnsi="Times New Roman" w:cs="Times New Roman"/>
          <w:b/>
        </w:rPr>
        <w:t>:</w:t>
      </w:r>
      <w:r w:rsidRPr="009E436F">
        <w:rPr>
          <w:rFonts w:ascii="Times New Roman" w:hAnsi="Times New Roman" w:cs="Times New Roman"/>
        </w:rPr>
        <w:t xml:space="preserve"> Two-round analysis improves identifications.</w:t>
      </w:r>
    </w:p>
    <w:tbl>
      <w:tblPr>
        <w:tblStyle w:val="ListTable2"/>
        <w:tblW w:w="4999" w:type="pct"/>
        <w:tblLook w:val="07E0" w:firstRow="1" w:lastRow="1" w:firstColumn="1" w:lastColumn="1" w:noHBand="1" w:noVBand="1"/>
      </w:tblPr>
      <w:tblGrid>
        <w:gridCol w:w="2846"/>
        <w:gridCol w:w="1243"/>
        <w:gridCol w:w="1428"/>
        <w:gridCol w:w="958"/>
        <w:gridCol w:w="1336"/>
        <w:gridCol w:w="1547"/>
      </w:tblGrid>
      <w:tr w:rsidR="008617DE" w:rsidRPr="009E436F" w14:paraId="77DC5694" w14:textId="77777777" w:rsidTr="00327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30F4F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Methodology</w:t>
            </w:r>
          </w:p>
        </w:tc>
        <w:tc>
          <w:tcPr>
            <w:tcW w:w="0" w:type="auto"/>
          </w:tcPr>
          <w:p w14:paraId="520F28C8" w14:textId="77777777" w:rsidR="00914052" w:rsidRPr="009E436F" w:rsidRDefault="00914052" w:rsidP="00327F86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Total Proteins</w:t>
            </w:r>
          </w:p>
        </w:tc>
        <w:tc>
          <w:tcPr>
            <w:tcW w:w="0" w:type="auto"/>
          </w:tcPr>
          <w:p w14:paraId="2A9C6DD4" w14:textId="77777777" w:rsidR="00914052" w:rsidRPr="009E436F" w:rsidRDefault="00914052" w:rsidP="00327F86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Contaminants</w:t>
            </w:r>
          </w:p>
        </w:tc>
        <w:tc>
          <w:tcPr>
            <w:tcW w:w="0" w:type="auto"/>
          </w:tcPr>
          <w:p w14:paraId="4E2E2A71" w14:textId="77777777" w:rsidR="00914052" w:rsidRPr="009E436F" w:rsidRDefault="00914052" w:rsidP="00327F86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Decoy IDs</w:t>
            </w:r>
          </w:p>
        </w:tc>
        <w:tc>
          <w:tcPr>
            <w:tcW w:w="0" w:type="auto"/>
          </w:tcPr>
          <w:p w14:paraId="5C1F1561" w14:textId="77777777" w:rsidR="00914052" w:rsidRPr="009E436F" w:rsidRDefault="00914052" w:rsidP="00327F86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Annotated 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F840C65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Unannotated IDs</w:t>
            </w:r>
          </w:p>
        </w:tc>
      </w:tr>
      <w:tr w:rsidR="008617DE" w:rsidRPr="009E436F" w14:paraId="1ABDD8A4" w14:textId="77777777" w:rsidTr="0032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F26E70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Standard single-round, FDR 0.01</w:t>
            </w:r>
          </w:p>
        </w:tc>
        <w:tc>
          <w:tcPr>
            <w:tcW w:w="0" w:type="auto"/>
          </w:tcPr>
          <w:p w14:paraId="2183B680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11578</w:t>
            </w:r>
          </w:p>
        </w:tc>
        <w:tc>
          <w:tcPr>
            <w:tcW w:w="0" w:type="auto"/>
          </w:tcPr>
          <w:p w14:paraId="54FD10FC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65</w:t>
            </w:r>
          </w:p>
        </w:tc>
        <w:tc>
          <w:tcPr>
            <w:tcW w:w="0" w:type="auto"/>
          </w:tcPr>
          <w:p w14:paraId="0B816E24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440</w:t>
            </w:r>
          </w:p>
        </w:tc>
        <w:tc>
          <w:tcPr>
            <w:tcW w:w="0" w:type="auto"/>
          </w:tcPr>
          <w:p w14:paraId="7F6AFF57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10936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6D2A983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137</w:t>
            </w:r>
          </w:p>
        </w:tc>
      </w:tr>
      <w:tr w:rsidR="008617DE" w:rsidRPr="009E436F" w14:paraId="61E9D93F" w14:textId="77777777" w:rsidTr="0032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CBB16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Two-step “discovery” round, FDR 0.2</w:t>
            </w:r>
          </w:p>
        </w:tc>
        <w:tc>
          <w:tcPr>
            <w:tcW w:w="0" w:type="auto"/>
          </w:tcPr>
          <w:p w14:paraId="4F11F49D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28483</w:t>
            </w:r>
          </w:p>
        </w:tc>
        <w:tc>
          <w:tcPr>
            <w:tcW w:w="0" w:type="auto"/>
          </w:tcPr>
          <w:p w14:paraId="7EE1F8A9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0" w:type="auto"/>
          </w:tcPr>
          <w:p w14:paraId="3E0D5A83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5220</w:t>
            </w:r>
          </w:p>
        </w:tc>
        <w:tc>
          <w:tcPr>
            <w:tcW w:w="0" w:type="auto"/>
          </w:tcPr>
          <w:p w14:paraId="21563BD1" w14:textId="77777777" w:rsidR="00914052" w:rsidRPr="009E436F" w:rsidRDefault="00914052" w:rsidP="00327F86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18182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4418DCE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5032</w:t>
            </w:r>
          </w:p>
        </w:tc>
      </w:tr>
      <w:tr w:rsidR="008617DE" w:rsidRPr="009E436F" w14:paraId="093F2EAB" w14:textId="77777777" w:rsidTr="00327F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4035AE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Two-step “verification” round, FDR 0.01</w:t>
            </w:r>
          </w:p>
        </w:tc>
        <w:tc>
          <w:tcPr>
            <w:tcW w:w="0" w:type="auto"/>
          </w:tcPr>
          <w:p w14:paraId="31582E5A" w14:textId="77777777" w:rsidR="00914052" w:rsidRPr="009E436F" w:rsidRDefault="00914052" w:rsidP="00327F86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14084</w:t>
            </w:r>
          </w:p>
        </w:tc>
        <w:tc>
          <w:tcPr>
            <w:tcW w:w="0" w:type="auto"/>
          </w:tcPr>
          <w:p w14:paraId="1EF6F9E1" w14:textId="77777777" w:rsidR="00914052" w:rsidRPr="009E436F" w:rsidRDefault="00914052" w:rsidP="00327F86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0" w:type="auto"/>
          </w:tcPr>
          <w:p w14:paraId="03DCF5A6" w14:textId="77777777" w:rsidR="00914052" w:rsidRPr="009E436F" w:rsidRDefault="00914052" w:rsidP="00327F86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252</w:t>
            </w:r>
          </w:p>
        </w:tc>
        <w:tc>
          <w:tcPr>
            <w:tcW w:w="0" w:type="auto"/>
          </w:tcPr>
          <w:p w14:paraId="4EC88AAA" w14:textId="77777777" w:rsidR="00914052" w:rsidRPr="009E436F" w:rsidRDefault="00914052" w:rsidP="00327F86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11666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E7C7FC9" w14:textId="77777777" w:rsidR="00914052" w:rsidRPr="009E436F" w:rsidRDefault="00914052" w:rsidP="00327F86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2121</w:t>
            </w:r>
          </w:p>
        </w:tc>
      </w:tr>
    </w:tbl>
    <w:p w14:paraId="57EE1848" w14:textId="77777777" w:rsidR="00914052" w:rsidRPr="009E436F" w:rsidRDefault="00914052" w:rsidP="00914052">
      <w:pPr>
        <w:pStyle w:val="BlockText"/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  <w:b/>
        </w:rPr>
        <w:t>Total Proteins</w:t>
      </w:r>
      <w:r w:rsidRPr="009E436F">
        <w:rPr>
          <w:rFonts w:ascii="Times New Roman" w:hAnsi="Times New Roman" w:cs="Times New Roman"/>
        </w:rPr>
        <w:t xml:space="preserve">: total protein groups identified; </w:t>
      </w:r>
      <w:r w:rsidRPr="009E436F">
        <w:rPr>
          <w:rFonts w:ascii="Times New Roman" w:hAnsi="Times New Roman" w:cs="Times New Roman"/>
          <w:b/>
        </w:rPr>
        <w:t>Contaminants</w:t>
      </w:r>
      <w:r w:rsidRPr="009E436F">
        <w:rPr>
          <w:rFonts w:ascii="Times New Roman" w:hAnsi="Times New Roman" w:cs="Times New Roman"/>
        </w:rPr>
        <w:t>: identifications from contaminant species (</w:t>
      </w:r>
      <w:proofErr w:type="gramStart"/>
      <w:r w:rsidRPr="009E436F">
        <w:rPr>
          <w:rFonts w:ascii="Times New Roman" w:hAnsi="Times New Roman" w:cs="Times New Roman"/>
        </w:rPr>
        <w:t>e.g.</w:t>
      </w:r>
      <w:proofErr w:type="gramEnd"/>
      <w:r w:rsidRPr="009E436F">
        <w:rPr>
          <w:rFonts w:ascii="Times New Roman" w:hAnsi="Times New Roman" w:cs="Times New Roman"/>
        </w:rPr>
        <w:t xml:space="preserve"> yeast, bacteria, etc.); </w:t>
      </w:r>
      <w:r w:rsidRPr="009E436F">
        <w:rPr>
          <w:rFonts w:ascii="Times New Roman" w:hAnsi="Times New Roman" w:cs="Times New Roman"/>
          <w:b/>
        </w:rPr>
        <w:t>Decoy IDs</w:t>
      </w:r>
      <w:r w:rsidRPr="009E436F">
        <w:rPr>
          <w:rFonts w:ascii="Times New Roman" w:hAnsi="Times New Roman" w:cs="Times New Roman"/>
        </w:rPr>
        <w:t xml:space="preserve">: identifications of reverse sequence decoys (Cox and Mann, 2008); </w:t>
      </w:r>
      <w:r w:rsidRPr="009E436F">
        <w:rPr>
          <w:rFonts w:ascii="Times New Roman" w:hAnsi="Times New Roman" w:cs="Times New Roman"/>
          <w:b/>
        </w:rPr>
        <w:t>Annotated IDs</w:t>
      </w:r>
      <w:r w:rsidRPr="009E436F">
        <w:rPr>
          <w:rFonts w:ascii="Times New Roman" w:hAnsi="Times New Roman" w:cs="Times New Roman"/>
        </w:rPr>
        <w:t>: groups containing an annotated protein (</w:t>
      </w:r>
      <w:proofErr w:type="spellStart"/>
      <w:r w:rsidRPr="009E436F">
        <w:rPr>
          <w:rFonts w:ascii="Times New Roman" w:hAnsi="Times New Roman" w:cs="Times New Roman"/>
        </w:rPr>
        <w:t>FlyBase</w:t>
      </w:r>
      <w:proofErr w:type="spellEnd"/>
      <w:r w:rsidRPr="009E436F">
        <w:rPr>
          <w:rFonts w:ascii="Times New Roman" w:hAnsi="Times New Roman" w:cs="Times New Roman"/>
        </w:rPr>
        <w:t xml:space="preserve"> r6.15); </w:t>
      </w:r>
      <w:r w:rsidRPr="009E436F">
        <w:rPr>
          <w:rFonts w:ascii="Times New Roman" w:hAnsi="Times New Roman" w:cs="Times New Roman"/>
          <w:b/>
        </w:rPr>
        <w:t>Unannotated IDs</w:t>
      </w:r>
      <w:r w:rsidRPr="009E436F">
        <w:rPr>
          <w:rFonts w:ascii="Times New Roman" w:hAnsi="Times New Roman" w:cs="Times New Roman"/>
        </w:rPr>
        <w:t xml:space="preserve">: groups solely containing unannotated candidates; later filtering as in </w:t>
      </w:r>
      <w:r w:rsidRPr="009E436F">
        <w:rPr>
          <w:rFonts w:ascii="Times New Roman" w:hAnsi="Times New Roman" w:cs="Times New Roman"/>
          <w:b/>
        </w:rPr>
        <w:t>Methods</w:t>
      </w:r>
      <w:r w:rsidRPr="009E436F">
        <w:rPr>
          <w:rFonts w:ascii="Times New Roman" w:hAnsi="Times New Roman" w:cs="Times New Roman"/>
        </w:rPr>
        <w:t xml:space="preserve"> (i.e. BLAST searches for duplicates, etc.) reduced these from 2121 to 993 candidates. Note that even at the end of the verification round, with the same FDR threshold and a comparable number of decoy matches, the number of unannotated matches is substantially greater.</w:t>
      </w:r>
    </w:p>
    <w:p w14:paraId="3CF60742" w14:textId="77777777" w:rsidR="00FE4BB2" w:rsidRDefault="00FE4BB2" w:rsidP="00FE4BB2">
      <w:pPr>
        <w:pStyle w:val="BlockText"/>
        <w:rPr>
          <w:rFonts w:ascii="Times New Roman" w:hAnsi="Times New Roman" w:cs="Times New Roman"/>
          <w:b/>
          <w:bCs w:val="0"/>
          <w:szCs w:val="22"/>
        </w:rPr>
      </w:pPr>
    </w:p>
    <w:p w14:paraId="7BE21BF1" w14:textId="72940019" w:rsidR="00FE4BB2" w:rsidRDefault="00FE4BB2" w:rsidP="00FE4BB2">
      <w:pPr>
        <w:pStyle w:val="BlockText"/>
        <w:rPr>
          <w:rFonts w:ascii="Times New Roman" w:hAnsi="Times New Roman" w:cs="Times New Roman"/>
          <w:szCs w:val="22"/>
        </w:rPr>
      </w:pPr>
      <w:r w:rsidRPr="009E436F">
        <w:rPr>
          <w:rFonts w:ascii="Times New Roman" w:hAnsi="Times New Roman" w:cs="Times New Roman"/>
          <w:b/>
          <w:bCs w:val="0"/>
          <w:szCs w:val="22"/>
        </w:rPr>
        <w:t xml:space="preserve">Supplemental Table </w:t>
      </w:r>
      <w:r w:rsidR="00A57142">
        <w:rPr>
          <w:rFonts w:ascii="Times New Roman" w:hAnsi="Times New Roman" w:cs="Times New Roman"/>
          <w:b/>
          <w:bCs w:val="0"/>
          <w:szCs w:val="22"/>
        </w:rPr>
        <w:t>1B</w:t>
      </w:r>
      <w:r w:rsidRPr="009E436F">
        <w:rPr>
          <w:rFonts w:ascii="Times New Roman" w:hAnsi="Times New Roman" w:cs="Times New Roman"/>
          <w:szCs w:val="22"/>
        </w:rPr>
        <w:t xml:space="preserve">: </w:t>
      </w:r>
      <w:r w:rsidRPr="00FE4BB2">
        <w:rPr>
          <w:rFonts w:ascii="Times New Roman" w:hAnsi="Times New Roman" w:cs="Times New Roman"/>
          <w:szCs w:val="22"/>
        </w:rPr>
        <w:t>Latent class analysis of unannotated translated ORFs with canonical start sites.</w:t>
      </w:r>
    </w:p>
    <w:p w14:paraId="47864135" w14:textId="77777777" w:rsidR="00FE4BB2" w:rsidRPr="00FE4BB2" w:rsidRDefault="00FE4BB2" w:rsidP="00FE4BB2">
      <w:pPr>
        <w:pStyle w:val="BodyText"/>
      </w:pPr>
    </w:p>
    <w:tbl>
      <w:tblPr>
        <w:tblStyle w:val="ListTable21"/>
        <w:tblW w:w="4187" w:type="pct"/>
        <w:tblLook w:val="07E0" w:firstRow="1" w:lastRow="1" w:firstColumn="1" w:lastColumn="1" w:noHBand="1" w:noVBand="1"/>
      </w:tblPr>
      <w:tblGrid>
        <w:gridCol w:w="718"/>
        <w:gridCol w:w="2883"/>
        <w:gridCol w:w="2069"/>
        <w:gridCol w:w="2168"/>
      </w:tblGrid>
      <w:tr w:rsidR="00FE4BB2" w:rsidRPr="00FE4BB2" w14:paraId="3C4DA9D7" w14:textId="77777777" w:rsidTr="00FC6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6D980" w14:textId="77777777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1839" w:type="pct"/>
          </w:tcPr>
          <w:p w14:paraId="1AE2BB2D" w14:textId="77777777" w:rsidR="00FE4BB2" w:rsidRPr="00FE4BB2" w:rsidRDefault="00FE4BB2" w:rsidP="00FE4BB2">
            <w:pPr>
              <w:spacing w:before="36" w:after="3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1320" w:type="pct"/>
          </w:tcPr>
          <w:p w14:paraId="07335F41" w14:textId="77777777" w:rsidR="00FE4BB2" w:rsidRPr="00FE4BB2" w:rsidRDefault="00FE4BB2" w:rsidP="00FE4BB2">
            <w:pPr>
              <w:spacing w:before="36" w:after="3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Estimated Percent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58D9F30A" w14:textId="77777777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</w:tr>
      <w:tr w:rsidR="00FE4BB2" w:rsidRPr="00FE4BB2" w14:paraId="5841EC33" w14:textId="77777777" w:rsidTr="00FC6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796377" w14:textId="03FFA60B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9" w:type="pct"/>
          </w:tcPr>
          <w:p w14:paraId="6DE99535" w14:textId="4B0687D0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putatively nonfunctional loci</w:t>
            </w:r>
          </w:p>
        </w:tc>
        <w:tc>
          <w:tcPr>
            <w:tcW w:w="1320" w:type="pct"/>
          </w:tcPr>
          <w:p w14:paraId="350E0F4F" w14:textId="736CD607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4.55%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776E29AE" w14:textId="29279704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</w:t>
            </w:r>
          </w:p>
        </w:tc>
      </w:tr>
      <w:tr w:rsidR="00FE4BB2" w:rsidRPr="00FE4BB2" w14:paraId="0A59012C" w14:textId="77777777" w:rsidTr="00FC6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0F4142" w14:textId="1E1F6D24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9" w:type="pct"/>
          </w:tcPr>
          <w:p w14:paraId="08476DED" w14:textId="4FB4CBE0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melanogaster-specific</w:t>
            </w:r>
            <w:proofErr w:type="gramEnd"/>
            <w:r w:rsidRPr="00FE4BB2">
              <w:rPr>
                <w:rFonts w:ascii="Times New Roman" w:hAnsi="Times New Roman" w:cs="Times New Roman"/>
                <w:sz w:val="20"/>
                <w:szCs w:val="20"/>
              </w:rPr>
              <w:t xml:space="preserve"> ORFs</w:t>
            </w:r>
          </w:p>
        </w:tc>
        <w:tc>
          <w:tcPr>
            <w:tcW w:w="1320" w:type="pct"/>
          </w:tcPr>
          <w:p w14:paraId="3750D4C5" w14:textId="63138CBC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4.22%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32FF61D5" w14:textId="41C7EE61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</w:t>
            </w:r>
          </w:p>
        </w:tc>
      </w:tr>
      <w:tr w:rsidR="00FE4BB2" w:rsidRPr="00FE4BB2" w14:paraId="13DC7A29" w14:textId="77777777" w:rsidTr="00FC6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EB1D4" w14:textId="58396A01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pct"/>
          </w:tcPr>
          <w:p w14:paraId="6448D85F" w14:textId="1BB39019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intergenic ORFs</w:t>
            </w:r>
          </w:p>
        </w:tc>
        <w:tc>
          <w:tcPr>
            <w:tcW w:w="1320" w:type="pct"/>
          </w:tcPr>
          <w:p w14:paraId="59A1A3DB" w14:textId="25E010C2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16.56%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2917DF41" w14:textId="4597C078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</w:t>
            </w:r>
          </w:p>
        </w:tc>
      </w:tr>
      <w:tr w:rsidR="00FE4BB2" w:rsidRPr="00FE4BB2" w14:paraId="4CB17DB8" w14:textId="77777777" w:rsidTr="00FC6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73D8E" w14:textId="73ACADD3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9" w:type="pct"/>
          </w:tcPr>
          <w:p w14:paraId="24112F14" w14:textId="0ABDE551" w:rsidR="00FE4BB2" w:rsidRPr="00FE4BB2" w:rsidRDefault="00B62B91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  <w:r w:rsidR="00497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BB2" w:rsidRPr="00FE4BB2">
              <w:rPr>
                <w:rFonts w:ascii="Times New Roman" w:hAnsi="Times New Roman" w:cs="Times New Roman"/>
                <w:sz w:val="20"/>
                <w:szCs w:val="20"/>
              </w:rPr>
              <w:t>unannotated ORFs</w:t>
            </w:r>
          </w:p>
        </w:tc>
        <w:tc>
          <w:tcPr>
            <w:tcW w:w="1320" w:type="pct"/>
          </w:tcPr>
          <w:p w14:paraId="4247D879" w14:textId="577D0C9F" w:rsidR="00FE4BB2" w:rsidRPr="00FE4BB2" w:rsidRDefault="00FE4BB2" w:rsidP="00FE4BB2">
            <w:pPr>
              <w:spacing w:before="36" w:after="3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49.03%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59487B5D" w14:textId="5F23D6A5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151</w:t>
            </w:r>
          </w:p>
        </w:tc>
      </w:tr>
      <w:tr w:rsidR="00FE4BB2" w:rsidRPr="00FE4BB2" w14:paraId="0A27E6C5" w14:textId="77777777" w:rsidTr="00FC6E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30DB01" w14:textId="5DA7789F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9" w:type="pct"/>
          </w:tcPr>
          <w:p w14:paraId="7D4E830F" w14:textId="1D95F27B" w:rsidR="00FE4BB2" w:rsidRPr="00FE4BB2" w:rsidRDefault="00FE4BB2" w:rsidP="00FE4BB2">
            <w:pPr>
              <w:spacing w:before="36" w:after="36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alternative frame ORFs</w:t>
            </w:r>
          </w:p>
        </w:tc>
        <w:tc>
          <w:tcPr>
            <w:tcW w:w="1320" w:type="pct"/>
          </w:tcPr>
          <w:p w14:paraId="4806E483" w14:textId="1403ADD7" w:rsidR="00FE4BB2" w:rsidRPr="00FE4BB2" w:rsidRDefault="00FE4BB2" w:rsidP="00FE4BB2">
            <w:pPr>
              <w:spacing w:before="36" w:after="36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25.65%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pct"/>
          </w:tcPr>
          <w:p w14:paraId="4B795E6A" w14:textId="28B579FD" w:rsidR="00FE4BB2" w:rsidRPr="00FE4BB2" w:rsidRDefault="00FE4BB2" w:rsidP="00FE4BB2">
            <w:pPr>
              <w:spacing w:before="36" w:after="3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4BB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79</w:t>
            </w:r>
          </w:p>
        </w:tc>
      </w:tr>
    </w:tbl>
    <w:p w14:paraId="64266AE7" w14:textId="4FAF9891" w:rsidR="00FE4BB2" w:rsidRDefault="00FE4BB2" w:rsidP="00914052">
      <w:pPr>
        <w:pStyle w:val="BlockText"/>
        <w:rPr>
          <w:rFonts w:ascii="Times New Roman" w:hAnsi="Times New Roman" w:cs="Times New Roman"/>
          <w:b/>
        </w:rPr>
      </w:pPr>
    </w:p>
    <w:p w14:paraId="1E7CE11F" w14:textId="77777777" w:rsidR="00FE4BB2" w:rsidRDefault="00FE4BB2">
      <w:pPr>
        <w:rPr>
          <w:rFonts w:ascii="Times New Roman" w:eastAsiaTheme="majorEastAsia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</w:rPr>
        <w:br w:type="page"/>
      </w:r>
    </w:p>
    <w:p w14:paraId="0CCA807B" w14:textId="77777777" w:rsidR="00914052" w:rsidRPr="009E436F" w:rsidRDefault="00914052" w:rsidP="00914052">
      <w:pPr>
        <w:pStyle w:val="BlockText"/>
        <w:rPr>
          <w:rFonts w:ascii="Times New Roman" w:hAnsi="Times New Roman" w:cs="Times New Roman"/>
          <w:b/>
        </w:rPr>
      </w:pPr>
    </w:p>
    <w:p w14:paraId="2FFE60F6" w14:textId="60B5AD8B" w:rsidR="00BF64A6" w:rsidRPr="009E436F" w:rsidRDefault="00BF64A6" w:rsidP="00BF64A6">
      <w:pPr>
        <w:pStyle w:val="BlockText"/>
        <w:rPr>
          <w:rFonts w:ascii="Times New Roman" w:hAnsi="Times New Roman" w:cs="Times New Roman"/>
          <w:szCs w:val="22"/>
        </w:rPr>
      </w:pPr>
      <w:r w:rsidRPr="009E436F">
        <w:rPr>
          <w:rFonts w:ascii="Times New Roman" w:hAnsi="Times New Roman" w:cs="Times New Roman"/>
          <w:b/>
          <w:bCs w:val="0"/>
          <w:szCs w:val="22"/>
        </w:rPr>
        <w:t xml:space="preserve">Supplemental Table </w:t>
      </w:r>
      <w:r w:rsidR="00A57142">
        <w:rPr>
          <w:rFonts w:ascii="Times New Roman" w:hAnsi="Times New Roman" w:cs="Times New Roman"/>
          <w:b/>
          <w:bCs w:val="0"/>
          <w:szCs w:val="22"/>
        </w:rPr>
        <w:t>1C</w:t>
      </w:r>
      <w:r w:rsidRPr="009E436F">
        <w:rPr>
          <w:rFonts w:ascii="Times New Roman" w:hAnsi="Times New Roman" w:cs="Times New Roman"/>
          <w:szCs w:val="22"/>
        </w:rPr>
        <w:t xml:space="preserve">: </w:t>
      </w:r>
      <w:proofErr w:type="spellStart"/>
      <w:r w:rsidRPr="009E436F">
        <w:rPr>
          <w:rFonts w:ascii="Times New Roman" w:hAnsi="Times New Roman" w:cs="Times New Roman"/>
          <w:szCs w:val="22"/>
        </w:rPr>
        <w:t>AutoRT</w:t>
      </w:r>
      <w:proofErr w:type="spellEnd"/>
      <w:r w:rsidRPr="009E436F">
        <w:rPr>
          <w:rFonts w:ascii="Times New Roman" w:hAnsi="Times New Roman" w:cs="Times New Roman"/>
          <w:szCs w:val="22"/>
        </w:rPr>
        <w:t>-supported identifications by inferred gene class.</w:t>
      </w:r>
    </w:p>
    <w:tbl>
      <w:tblPr>
        <w:tblStyle w:val="ListTable2"/>
        <w:tblW w:w="3408" w:type="pct"/>
        <w:tblLook w:val="07E0" w:firstRow="1" w:lastRow="1" w:firstColumn="1" w:lastColumn="1" w:noHBand="1" w:noVBand="1"/>
      </w:tblPr>
      <w:tblGrid>
        <w:gridCol w:w="2884"/>
        <w:gridCol w:w="1005"/>
        <w:gridCol w:w="1005"/>
        <w:gridCol w:w="1486"/>
      </w:tblGrid>
      <w:tr w:rsidR="008617DE" w:rsidRPr="009E436F" w14:paraId="3943BB49" w14:textId="77777777" w:rsidTr="002B0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3DF72EFE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class</w:t>
            </w:r>
          </w:p>
        </w:tc>
        <w:tc>
          <w:tcPr>
            <w:tcW w:w="185" w:type="pct"/>
          </w:tcPr>
          <w:p w14:paraId="4ED2A8A7" w14:textId="77777777" w:rsidR="00C718E8" w:rsidRPr="009E436F" w:rsidRDefault="00C718E8" w:rsidP="002B0615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supported</w:t>
            </w:r>
          </w:p>
        </w:tc>
        <w:tc>
          <w:tcPr>
            <w:tcW w:w="867" w:type="pct"/>
          </w:tcPr>
          <w:p w14:paraId="029CFB78" w14:textId="77777777" w:rsidR="00C718E8" w:rsidRPr="009E436F" w:rsidRDefault="00C718E8" w:rsidP="002B0615">
            <w:pPr>
              <w:pStyle w:val="Comp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not supported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B67D42D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proportion</w:t>
            </w:r>
          </w:p>
        </w:tc>
      </w:tr>
      <w:tr w:rsidR="008617DE" w:rsidRPr="009E436F" w14:paraId="1F38D3A9" w14:textId="77777777" w:rsidTr="002B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7674B070" w14:textId="3621700B" w:rsidR="005F13D2" w:rsidRPr="009E436F" w:rsidRDefault="00B62B91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general </w:t>
            </w:r>
            <w:r w:rsidR="00540601"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unannotated ORF</w:t>
            </w:r>
          </w:p>
        </w:tc>
        <w:tc>
          <w:tcPr>
            <w:tcW w:w="185" w:type="pct"/>
          </w:tcPr>
          <w:p w14:paraId="75A1BF7B" w14:textId="790B97CA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158</w:t>
            </w:r>
          </w:p>
        </w:tc>
        <w:tc>
          <w:tcPr>
            <w:tcW w:w="867" w:type="pct"/>
          </w:tcPr>
          <w:p w14:paraId="593BC931" w14:textId="4CCB15CC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5A25236" w14:textId="260FFEDD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26.7%</w:t>
            </w:r>
          </w:p>
        </w:tc>
      </w:tr>
      <w:tr w:rsidR="008617DE" w:rsidRPr="009E436F" w14:paraId="6617D740" w14:textId="77777777" w:rsidTr="002B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621CBF67" w14:textId="62B65706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alt</w:t>
            </w:r>
            <w:r w:rsidR="00540601"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ernative</w:t>
            </w: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-frame</w:t>
            </w:r>
          </w:p>
        </w:tc>
        <w:tc>
          <w:tcPr>
            <w:tcW w:w="185" w:type="pct"/>
          </w:tcPr>
          <w:p w14:paraId="03E7B76D" w14:textId="4EB13043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48</w:t>
            </w:r>
          </w:p>
        </w:tc>
        <w:tc>
          <w:tcPr>
            <w:tcW w:w="867" w:type="pct"/>
          </w:tcPr>
          <w:p w14:paraId="6B747E60" w14:textId="7E955B38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F212867" w14:textId="42D96E3A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29.8%</w:t>
            </w:r>
          </w:p>
        </w:tc>
      </w:tr>
      <w:tr w:rsidR="008617DE" w:rsidRPr="009E436F" w14:paraId="0289C6F1" w14:textId="77777777" w:rsidTr="002B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3BA99861" w14:textId="77777777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fast-evolving</w:t>
            </w:r>
          </w:p>
        </w:tc>
        <w:tc>
          <w:tcPr>
            <w:tcW w:w="185" w:type="pct"/>
          </w:tcPr>
          <w:p w14:paraId="74478AD1" w14:textId="2A667CB7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67" w:type="pct"/>
          </w:tcPr>
          <w:p w14:paraId="77A55C00" w14:textId="38CB438F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71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DC75161" w14:textId="68EB9EF0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26.0%</w:t>
            </w:r>
          </w:p>
        </w:tc>
      </w:tr>
      <w:tr w:rsidR="008617DE" w:rsidRPr="009E436F" w14:paraId="2B0D615F" w14:textId="77777777" w:rsidTr="002B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7AA1B0B6" w14:textId="1F87AE6E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mel</w:t>
            </w:r>
            <w:r w:rsidR="00540601"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anogaster</w:t>
            </w: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-specific</w:t>
            </w:r>
          </w:p>
        </w:tc>
        <w:tc>
          <w:tcPr>
            <w:tcW w:w="185" w:type="pct"/>
          </w:tcPr>
          <w:p w14:paraId="280539EC" w14:textId="323D3CCC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867" w:type="pct"/>
          </w:tcPr>
          <w:p w14:paraId="6B8BCA41" w14:textId="72522F41" w:rsidR="005F13D2" w:rsidRPr="009E436F" w:rsidRDefault="005F13D2" w:rsidP="002B0615">
            <w:pPr>
              <w:pStyle w:val="Comp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CDB104E" w14:textId="55EBC5F3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31.5%</w:t>
            </w:r>
          </w:p>
        </w:tc>
      </w:tr>
      <w:tr w:rsidR="008617DE" w:rsidRPr="009E436F" w14:paraId="6B81820E" w14:textId="77777777" w:rsidTr="002B06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3B5D35AE" w14:textId="08F4F413" w:rsidR="005F13D2" w:rsidRPr="009E436F" w:rsidRDefault="002E3891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2E3891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putatively </w:t>
            </w:r>
            <w:r w:rsidR="00B62B91">
              <w:rPr>
                <w:rFonts w:ascii="Times New Roman" w:hAnsi="Times New Roman" w:cs="Times New Roman"/>
                <w:b w:val="0"/>
                <w:bCs w:val="0"/>
                <w:szCs w:val="20"/>
              </w:rPr>
              <w:t>n</w:t>
            </w:r>
            <w:r w:rsidR="00540601"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onfunctional loci</w:t>
            </w:r>
          </w:p>
        </w:tc>
        <w:tc>
          <w:tcPr>
            <w:tcW w:w="185" w:type="pct"/>
          </w:tcPr>
          <w:p w14:paraId="01E12896" w14:textId="71D49779" w:rsidR="005F13D2" w:rsidRPr="009E436F" w:rsidRDefault="005F13D2" w:rsidP="002B0615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6</w:t>
            </w:r>
          </w:p>
        </w:tc>
        <w:tc>
          <w:tcPr>
            <w:tcW w:w="867" w:type="pct"/>
          </w:tcPr>
          <w:p w14:paraId="35DEA3D6" w14:textId="03C3DFF1" w:rsidR="005F13D2" w:rsidRPr="009E436F" w:rsidRDefault="005F13D2" w:rsidP="002B0615">
            <w:pPr>
              <w:pStyle w:val="Comp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9401C11" w14:textId="0C72D215" w:rsidR="005F13D2" w:rsidRPr="009E436F" w:rsidRDefault="005F13D2" w:rsidP="002B0615">
            <w:pPr>
              <w:pStyle w:val="Compact"/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9E436F">
              <w:rPr>
                <w:rFonts w:ascii="Times New Roman" w:hAnsi="Times New Roman" w:cs="Times New Roman"/>
                <w:b w:val="0"/>
                <w:bCs w:val="0"/>
                <w:szCs w:val="20"/>
              </w:rPr>
              <w:t>14.6%</w:t>
            </w:r>
          </w:p>
        </w:tc>
      </w:tr>
    </w:tbl>
    <w:p w14:paraId="25914927" w14:textId="1A189D24" w:rsidR="00914052" w:rsidRPr="009E436F" w:rsidRDefault="00914052">
      <w:pPr>
        <w:rPr>
          <w:rFonts w:ascii="Times New Roman" w:hAnsi="Times New Roman" w:cs="Times New Roman"/>
        </w:rPr>
      </w:pPr>
    </w:p>
    <w:p w14:paraId="7DE6D3DC" w14:textId="209D2A70" w:rsidR="00BF64A6" w:rsidRPr="009E436F" w:rsidRDefault="00BF64A6" w:rsidP="00BF64A6">
      <w:pPr>
        <w:pStyle w:val="BlockText"/>
        <w:rPr>
          <w:rFonts w:ascii="Times New Roman" w:hAnsi="Times New Roman" w:cs="Times New Roman"/>
          <w:szCs w:val="22"/>
        </w:rPr>
      </w:pPr>
      <w:r w:rsidRPr="009E436F">
        <w:rPr>
          <w:rFonts w:ascii="Times New Roman" w:hAnsi="Times New Roman" w:cs="Times New Roman"/>
          <w:b/>
          <w:szCs w:val="22"/>
        </w:rPr>
        <w:t xml:space="preserve">Supplemental Table </w:t>
      </w:r>
      <w:r w:rsidR="00A57142">
        <w:rPr>
          <w:rFonts w:ascii="Times New Roman" w:hAnsi="Times New Roman" w:cs="Times New Roman"/>
          <w:b/>
          <w:szCs w:val="22"/>
        </w:rPr>
        <w:t>1D</w:t>
      </w:r>
      <w:r w:rsidRPr="009E436F">
        <w:rPr>
          <w:rFonts w:ascii="Times New Roman" w:hAnsi="Times New Roman" w:cs="Times New Roman"/>
          <w:szCs w:val="22"/>
        </w:rPr>
        <w:t>: Summary statistics used for selecting the number of latent classes</w:t>
      </w:r>
      <w:r w:rsidR="00FE4BB2">
        <w:rPr>
          <w:rFonts w:ascii="Times New Roman" w:hAnsi="Times New Roman" w:cs="Times New Roman"/>
          <w:szCs w:val="22"/>
        </w:rPr>
        <w:t xml:space="preserve"> when considering all </w:t>
      </w:r>
      <w:proofErr w:type="spellStart"/>
      <w:r w:rsidR="00FE4BB2">
        <w:rPr>
          <w:rFonts w:ascii="Times New Roman" w:hAnsi="Times New Roman" w:cs="Times New Roman"/>
          <w:szCs w:val="22"/>
        </w:rPr>
        <w:t>utORFs</w:t>
      </w:r>
      <w:proofErr w:type="spellEnd"/>
      <w:r w:rsidRPr="009E436F">
        <w:rPr>
          <w:rFonts w:ascii="Times New Roman" w:hAnsi="Times New Roman" w:cs="Times New Roman"/>
          <w:szCs w:val="22"/>
        </w:rPr>
        <w:t>.</w:t>
      </w:r>
    </w:p>
    <w:tbl>
      <w:tblPr>
        <w:tblStyle w:val="Table"/>
        <w:tblW w:w="4164" w:type="pct"/>
        <w:tblLayout w:type="fixed"/>
        <w:tblLook w:val="07E0" w:firstRow="1" w:lastRow="1" w:firstColumn="1" w:lastColumn="1" w:noHBand="1" w:noVBand="1"/>
      </w:tblPr>
      <w:tblGrid>
        <w:gridCol w:w="2391"/>
        <w:gridCol w:w="1351"/>
        <w:gridCol w:w="1351"/>
        <w:gridCol w:w="1351"/>
        <w:gridCol w:w="1351"/>
      </w:tblGrid>
      <w:tr w:rsidR="008617DE" w:rsidRPr="009E436F" w14:paraId="6A5E3EBF" w14:textId="77777777" w:rsidTr="00AB7C54">
        <w:tc>
          <w:tcPr>
            <w:tcW w:w="2391" w:type="dxa"/>
            <w:tcBorders>
              <w:bottom w:val="single" w:sz="0" w:space="0" w:color="auto"/>
            </w:tcBorders>
            <w:vAlign w:val="bottom"/>
          </w:tcPr>
          <w:p w14:paraId="06C3ADBD" w14:textId="77777777" w:rsidR="00C718E8" w:rsidRPr="009E436F" w:rsidRDefault="00C718E8" w:rsidP="001F3AD1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Number of Classes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1BECED73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AIC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6B5E1AAF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BIC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14329779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G</w:t>
            </w:r>
            <w:r w:rsidRPr="009E436F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73E9C602" w14:textId="77777777" w:rsidR="00C718E8" w:rsidRPr="009E436F" w:rsidRDefault="00C718E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Chi-sq</w:t>
            </w:r>
          </w:p>
        </w:tc>
      </w:tr>
      <w:tr w:rsidR="008617DE" w:rsidRPr="009E436F" w14:paraId="7C34C363" w14:textId="77777777" w:rsidTr="00AB7C54">
        <w:tc>
          <w:tcPr>
            <w:tcW w:w="2391" w:type="dxa"/>
          </w:tcPr>
          <w:p w14:paraId="3C9A27B0" w14:textId="77777777" w:rsidR="002E2AA8" w:rsidRPr="009E436F" w:rsidRDefault="002E2AA8" w:rsidP="002E2AA8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51" w:type="dxa"/>
          </w:tcPr>
          <w:p w14:paraId="00F15FE9" w14:textId="5115E680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13202.7</w:t>
            </w:r>
          </w:p>
        </w:tc>
        <w:tc>
          <w:tcPr>
            <w:tcW w:w="1351" w:type="dxa"/>
          </w:tcPr>
          <w:p w14:paraId="46F9205F" w14:textId="50389391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13442.44</w:t>
            </w:r>
          </w:p>
        </w:tc>
        <w:tc>
          <w:tcPr>
            <w:tcW w:w="1351" w:type="dxa"/>
          </w:tcPr>
          <w:p w14:paraId="5E5BB53A" w14:textId="2581FE10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1806.049</w:t>
            </w:r>
          </w:p>
        </w:tc>
        <w:tc>
          <w:tcPr>
            <w:tcW w:w="1351" w:type="dxa"/>
          </w:tcPr>
          <w:p w14:paraId="7F4459C4" w14:textId="06FC843B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11173.71</w:t>
            </w:r>
          </w:p>
        </w:tc>
      </w:tr>
      <w:tr w:rsidR="008617DE" w:rsidRPr="009E436F" w14:paraId="30D25F92" w14:textId="77777777" w:rsidTr="00AB7C54">
        <w:tc>
          <w:tcPr>
            <w:tcW w:w="2391" w:type="dxa"/>
          </w:tcPr>
          <w:p w14:paraId="0F38B1AB" w14:textId="77777777" w:rsidR="002E2AA8" w:rsidRPr="009E436F" w:rsidRDefault="002E2AA8" w:rsidP="002E2AA8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351" w:type="dxa"/>
          </w:tcPr>
          <w:p w14:paraId="0D04949D" w14:textId="20698BCD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13041.25</w:t>
            </w:r>
          </w:p>
        </w:tc>
        <w:tc>
          <w:tcPr>
            <w:tcW w:w="1351" w:type="dxa"/>
          </w:tcPr>
          <w:p w14:paraId="03C5F3F3" w14:textId="0C24EC13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13403.31</w:t>
            </w:r>
          </w:p>
        </w:tc>
        <w:tc>
          <w:tcPr>
            <w:tcW w:w="1351" w:type="dxa"/>
          </w:tcPr>
          <w:p w14:paraId="5C2C6B7F" w14:textId="7F815C01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1594.601</w:t>
            </w:r>
          </w:p>
        </w:tc>
        <w:tc>
          <w:tcPr>
            <w:tcW w:w="1351" w:type="dxa"/>
          </w:tcPr>
          <w:p w14:paraId="2F24C626" w14:textId="20B3A107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7488.03</w:t>
            </w:r>
          </w:p>
        </w:tc>
      </w:tr>
      <w:tr w:rsidR="008617DE" w:rsidRPr="009E436F" w14:paraId="51BAC39B" w14:textId="77777777" w:rsidTr="00AB7C54">
        <w:tc>
          <w:tcPr>
            <w:tcW w:w="2391" w:type="dxa"/>
          </w:tcPr>
          <w:p w14:paraId="11A92D9F" w14:textId="77777777" w:rsidR="002E2AA8" w:rsidRPr="009E436F" w:rsidRDefault="002E2AA8" w:rsidP="002E2AA8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51" w:type="dxa"/>
          </w:tcPr>
          <w:p w14:paraId="2247EE7A" w14:textId="26355D64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12931.12</w:t>
            </w:r>
          </w:p>
        </w:tc>
        <w:tc>
          <w:tcPr>
            <w:tcW w:w="1351" w:type="dxa"/>
          </w:tcPr>
          <w:p w14:paraId="3C947D43" w14:textId="684C829E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13415.5</w:t>
            </w:r>
          </w:p>
        </w:tc>
        <w:tc>
          <w:tcPr>
            <w:tcW w:w="1351" w:type="dxa"/>
          </w:tcPr>
          <w:p w14:paraId="27963CFF" w14:textId="5A3BD791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1434.47</w:t>
            </w:r>
          </w:p>
        </w:tc>
        <w:tc>
          <w:tcPr>
            <w:tcW w:w="1351" w:type="dxa"/>
          </w:tcPr>
          <w:p w14:paraId="49AECB51" w14:textId="44C9AC4B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4956.729</w:t>
            </w:r>
          </w:p>
        </w:tc>
      </w:tr>
      <w:tr w:rsidR="008617DE" w:rsidRPr="009E436F" w14:paraId="7D4F19E4" w14:textId="77777777" w:rsidTr="00AB7C54">
        <w:tc>
          <w:tcPr>
            <w:tcW w:w="2391" w:type="dxa"/>
          </w:tcPr>
          <w:p w14:paraId="04EF01B4" w14:textId="77777777" w:rsidR="002E2AA8" w:rsidRPr="009E436F" w:rsidRDefault="002E2AA8" w:rsidP="002E2AA8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51" w:type="dxa"/>
          </w:tcPr>
          <w:p w14:paraId="60211B8C" w14:textId="07E39231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12857.13</w:t>
            </w:r>
          </w:p>
        </w:tc>
        <w:tc>
          <w:tcPr>
            <w:tcW w:w="1351" w:type="dxa"/>
          </w:tcPr>
          <w:p w14:paraId="712ABCCC" w14:textId="406C0637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13463.81</w:t>
            </w:r>
          </w:p>
        </w:tc>
        <w:tc>
          <w:tcPr>
            <w:tcW w:w="1351" w:type="dxa"/>
          </w:tcPr>
          <w:p w14:paraId="0F99D061" w14:textId="0B375076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1310.472</w:t>
            </w:r>
          </w:p>
        </w:tc>
        <w:tc>
          <w:tcPr>
            <w:tcW w:w="1351" w:type="dxa"/>
          </w:tcPr>
          <w:p w14:paraId="1ADBCCDE" w14:textId="64168898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4788.56</w:t>
            </w:r>
          </w:p>
        </w:tc>
      </w:tr>
      <w:tr w:rsidR="008617DE" w:rsidRPr="009E436F" w14:paraId="2964A2A2" w14:textId="77777777" w:rsidTr="00AB7C54">
        <w:tc>
          <w:tcPr>
            <w:tcW w:w="2391" w:type="dxa"/>
          </w:tcPr>
          <w:p w14:paraId="5EA13756" w14:textId="77777777" w:rsidR="002E2AA8" w:rsidRPr="009E436F" w:rsidRDefault="002E2AA8" w:rsidP="002E2AA8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6*</w:t>
            </w:r>
          </w:p>
        </w:tc>
        <w:tc>
          <w:tcPr>
            <w:tcW w:w="1351" w:type="dxa"/>
          </w:tcPr>
          <w:p w14:paraId="69D4D3A7" w14:textId="4F83253B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12820.76</w:t>
            </w:r>
          </w:p>
        </w:tc>
        <w:tc>
          <w:tcPr>
            <w:tcW w:w="1351" w:type="dxa"/>
          </w:tcPr>
          <w:p w14:paraId="24C89FB6" w14:textId="7538257E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13549.76</w:t>
            </w:r>
          </w:p>
        </w:tc>
        <w:tc>
          <w:tcPr>
            <w:tcW w:w="1351" w:type="dxa"/>
          </w:tcPr>
          <w:p w14:paraId="3FA3CE20" w14:textId="0603438B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1224.104</w:t>
            </w:r>
          </w:p>
        </w:tc>
        <w:tc>
          <w:tcPr>
            <w:tcW w:w="1351" w:type="dxa"/>
          </w:tcPr>
          <w:p w14:paraId="0A2786A2" w14:textId="4642ED35" w:rsidR="002E2AA8" w:rsidRPr="009E436F" w:rsidRDefault="002E2AA8" w:rsidP="002B0615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4155.138</w:t>
            </w:r>
          </w:p>
        </w:tc>
      </w:tr>
    </w:tbl>
    <w:p w14:paraId="23E74B23" w14:textId="31E34486" w:rsidR="00C718E8" w:rsidRDefault="00C718E8" w:rsidP="00C718E8">
      <w:pPr>
        <w:pStyle w:val="BlockText"/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>Five latent classes were chosen as a balance of minimizing the AIC and BIC and model interpretation. AIC: Akaike information criterion; BIC: Bayesian information criterion; G</w:t>
      </w:r>
      <w:r w:rsidRPr="009E436F">
        <w:rPr>
          <w:rFonts w:ascii="Times New Roman" w:hAnsi="Times New Roman" w:cs="Times New Roman"/>
          <w:vertAlign w:val="superscript"/>
        </w:rPr>
        <w:t>2</w:t>
      </w:r>
      <w:r w:rsidRPr="009E436F">
        <w:rPr>
          <w:rFonts w:ascii="Times New Roman" w:hAnsi="Times New Roman" w:cs="Times New Roman"/>
        </w:rPr>
        <w:t>: likelihood-ratio statistic; Chi-sq: Chi-squared *: Models with 6 classes did not converge on a single maximum-likelihood solution within 100 replicates.</w:t>
      </w:r>
    </w:p>
    <w:p w14:paraId="76C89D92" w14:textId="77777777" w:rsidR="00BC77FB" w:rsidRPr="00BC77FB" w:rsidRDefault="00BC77FB" w:rsidP="00BC77FB">
      <w:pPr>
        <w:pStyle w:val="BodyText"/>
      </w:pPr>
    </w:p>
    <w:p w14:paraId="6D965C9A" w14:textId="5F3649F9" w:rsidR="00BC77FB" w:rsidRPr="009E436F" w:rsidRDefault="00BC77FB" w:rsidP="00BC77FB">
      <w:pPr>
        <w:pStyle w:val="BlockText"/>
        <w:rPr>
          <w:rFonts w:ascii="Times New Roman" w:hAnsi="Times New Roman" w:cs="Times New Roman"/>
          <w:szCs w:val="22"/>
        </w:rPr>
      </w:pPr>
      <w:r w:rsidRPr="009E436F">
        <w:rPr>
          <w:rFonts w:ascii="Times New Roman" w:hAnsi="Times New Roman" w:cs="Times New Roman"/>
          <w:b/>
          <w:szCs w:val="22"/>
        </w:rPr>
        <w:t xml:space="preserve">Supplemental Table </w:t>
      </w:r>
      <w:r w:rsidR="00A57142">
        <w:rPr>
          <w:rFonts w:ascii="Times New Roman" w:hAnsi="Times New Roman" w:cs="Times New Roman"/>
          <w:b/>
          <w:szCs w:val="22"/>
        </w:rPr>
        <w:t>1E</w:t>
      </w:r>
      <w:r w:rsidRPr="009E436F">
        <w:rPr>
          <w:rFonts w:ascii="Times New Roman" w:hAnsi="Times New Roman" w:cs="Times New Roman"/>
          <w:szCs w:val="22"/>
        </w:rPr>
        <w:t>: Summary statistics used for selecting the number of latent classes</w:t>
      </w:r>
      <w:r w:rsidR="00FE4BB2">
        <w:rPr>
          <w:rFonts w:ascii="Times New Roman" w:hAnsi="Times New Roman" w:cs="Times New Roman"/>
          <w:szCs w:val="22"/>
        </w:rPr>
        <w:t xml:space="preserve"> when considering only </w:t>
      </w:r>
      <w:proofErr w:type="spellStart"/>
      <w:r w:rsidR="00FE4BB2">
        <w:rPr>
          <w:rFonts w:ascii="Times New Roman" w:hAnsi="Times New Roman" w:cs="Times New Roman"/>
          <w:szCs w:val="22"/>
        </w:rPr>
        <w:t>utORFs</w:t>
      </w:r>
      <w:proofErr w:type="spellEnd"/>
      <w:r w:rsidR="00FE4BB2">
        <w:rPr>
          <w:rFonts w:ascii="Times New Roman" w:hAnsi="Times New Roman" w:cs="Times New Roman"/>
          <w:szCs w:val="22"/>
        </w:rPr>
        <w:t xml:space="preserve"> with canonical start codons</w:t>
      </w:r>
      <w:r w:rsidRPr="009E436F">
        <w:rPr>
          <w:rFonts w:ascii="Times New Roman" w:hAnsi="Times New Roman" w:cs="Times New Roman"/>
          <w:szCs w:val="22"/>
        </w:rPr>
        <w:t>.</w:t>
      </w:r>
    </w:p>
    <w:tbl>
      <w:tblPr>
        <w:tblStyle w:val="Table"/>
        <w:tblW w:w="4164" w:type="pct"/>
        <w:tblLayout w:type="fixed"/>
        <w:tblLook w:val="07E0" w:firstRow="1" w:lastRow="1" w:firstColumn="1" w:lastColumn="1" w:noHBand="1" w:noVBand="1"/>
      </w:tblPr>
      <w:tblGrid>
        <w:gridCol w:w="2391"/>
        <w:gridCol w:w="1351"/>
        <w:gridCol w:w="1351"/>
        <w:gridCol w:w="1351"/>
        <w:gridCol w:w="1351"/>
      </w:tblGrid>
      <w:tr w:rsidR="00BC77FB" w:rsidRPr="009E436F" w14:paraId="2451245F" w14:textId="77777777" w:rsidTr="00FC6EF9">
        <w:tc>
          <w:tcPr>
            <w:tcW w:w="2391" w:type="dxa"/>
            <w:tcBorders>
              <w:bottom w:val="single" w:sz="0" w:space="0" w:color="auto"/>
            </w:tcBorders>
            <w:vAlign w:val="bottom"/>
          </w:tcPr>
          <w:p w14:paraId="3C6B7908" w14:textId="77777777" w:rsidR="00BC77FB" w:rsidRPr="009E436F" w:rsidRDefault="00BC77FB" w:rsidP="00FC6EF9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Number of Classes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020EEFC4" w14:textId="77777777" w:rsidR="00BC77FB" w:rsidRPr="009E436F" w:rsidRDefault="00BC77FB" w:rsidP="00FC6EF9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AIC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1210ED1A" w14:textId="77777777" w:rsidR="00BC77FB" w:rsidRPr="009E436F" w:rsidRDefault="00BC77FB" w:rsidP="00FC6EF9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BIC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2E64A915" w14:textId="77777777" w:rsidR="00BC77FB" w:rsidRPr="009E436F" w:rsidRDefault="00BC77FB" w:rsidP="00FC6EF9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G</w:t>
            </w:r>
            <w:r w:rsidRPr="009E436F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351" w:type="dxa"/>
            <w:tcBorders>
              <w:bottom w:val="single" w:sz="0" w:space="0" w:color="auto"/>
            </w:tcBorders>
            <w:vAlign w:val="bottom"/>
          </w:tcPr>
          <w:p w14:paraId="66B762AB" w14:textId="77777777" w:rsidR="00BC77FB" w:rsidRPr="009E436F" w:rsidRDefault="00BC77FB" w:rsidP="00FC6EF9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E436F">
              <w:rPr>
                <w:rFonts w:ascii="Times New Roman" w:hAnsi="Times New Roman" w:cs="Times New Roman"/>
                <w:szCs w:val="20"/>
              </w:rPr>
              <w:t>Chi-sq</w:t>
            </w:r>
          </w:p>
        </w:tc>
      </w:tr>
      <w:tr w:rsidR="00FE4BB2" w:rsidRPr="009E436F" w14:paraId="49843D18" w14:textId="77777777" w:rsidTr="00FC6EF9">
        <w:tc>
          <w:tcPr>
            <w:tcW w:w="2391" w:type="dxa"/>
          </w:tcPr>
          <w:p w14:paraId="57ED19B7" w14:textId="58127C91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dxa"/>
          </w:tcPr>
          <w:p w14:paraId="3E006D14" w14:textId="6AA34382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4020.45</w:t>
            </w:r>
          </w:p>
        </w:tc>
        <w:tc>
          <w:tcPr>
            <w:tcW w:w="1351" w:type="dxa"/>
          </w:tcPr>
          <w:p w14:paraId="31656BD0" w14:textId="05A210DB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4203.225</w:t>
            </w:r>
          </w:p>
        </w:tc>
        <w:tc>
          <w:tcPr>
            <w:tcW w:w="1351" w:type="dxa"/>
          </w:tcPr>
          <w:p w14:paraId="1AE5D259" w14:textId="3E053036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797.163</w:t>
            </w:r>
          </w:p>
        </w:tc>
        <w:tc>
          <w:tcPr>
            <w:tcW w:w="1351" w:type="dxa"/>
          </w:tcPr>
          <w:p w14:paraId="7DC35441" w14:textId="61539615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12055.97</w:t>
            </w:r>
          </w:p>
        </w:tc>
      </w:tr>
      <w:tr w:rsidR="00FE4BB2" w:rsidRPr="009E436F" w14:paraId="49499C68" w14:textId="77777777" w:rsidTr="00FC6EF9">
        <w:tc>
          <w:tcPr>
            <w:tcW w:w="2391" w:type="dxa"/>
          </w:tcPr>
          <w:p w14:paraId="7128A8BE" w14:textId="5DF5AA6C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1" w:type="dxa"/>
          </w:tcPr>
          <w:p w14:paraId="3FDE77DC" w14:textId="41A0A3AF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3983.328</w:t>
            </w:r>
          </w:p>
        </w:tc>
        <w:tc>
          <w:tcPr>
            <w:tcW w:w="1351" w:type="dxa"/>
          </w:tcPr>
          <w:p w14:paraId="54A9100F" w14:textId="7ECBD661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4259.356</w:t>
            </w:r>
          </w:p>
        </w:tc>
        <w:tc>
          <w:tcPr>
            <w:tcW w:w="1351" w:type="dxa"/>
          </w:tcPr>
          <w:p w14:paraId="74D9E0D2" w14:textId="3DF97D2F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710.041</w:t>
            </w:r>
          </w:p>
        </w:tc>
        <w:tc>
          <w:tcPr>
            <w:tcW w:w="1351" w:type="dxa"/>
          </w:tcPr>
          <w:p w14:paraId="6592BC2B" w14:textId="7F827D4D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4596.399</w:t>
            </w:r>
          </w:p>
        </w:tc>
      </w:tr>
      <w:tr w:rsidR="00FE4BB2" w:rsidRPr="009E436F" w14:paraId="6F49F09D" w14:textId="77777777" w:rsidTr="00FC6EF9">
        <w:tc>
          <w:tcPr>
            <w:tcW w:w="2391" w:type="dxa"/>
          </w:tcPr>
          <w:p w14:paraId="28021301" w14:textId="4DBE1C87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1" w:type="dxa"/>
          </w:tcPr>
          <w:p w14:paraId="729FE34E" w14:textId="264664DB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3978.968</w:t>
            </w:r>
          </w:p>
        </w:tc>
        <w:tc>
          <w:tcPr>
            <w:tcW w:w="1351" w:type="dxa"/>
          </w:tcPr>
          <w:p w14:paraId="7AE00E49" w14:textId="604AFEF6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4348.247</w:t>
            </w:r>
          </w:p>
        </w:tc>
        <w:tc>
          <w:tcPr>
            <w:tcW w:w="1351" w:type="dxa"/>
          </w:tcPr>
          <w:p w14:paraId="0090F68B" w14:textId="5B25445A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655.680</w:t>
            </w:r>
          </w:p>
        </w:tc>
        <w:tc>
          <w:tcPr>
            <w:tcW w:w="1351" w:type="dxa"/>
          </w:tcPr>
          <w:p w14:paraId="544ED4E3" w14:textId="2C9973AF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3333.585</w:t>
            </w:r>
          </w:p>
        </w:tc>
      </w:tr>
      <w:tr w:rsidR="00FE4BB2" w:rsidRPr="009E436F" w14:paraId="31BB8739" w14:textId="77777777" w:rsidTr="00FC6EF9">
        <w:tc>
          <w:tcPr>
            <w:tcW w:w="2391" w:type="dxa"/>
          </w:tcPr>
          <w:p w14:paraId="02A0AEC6" w14:textId="0B9542F1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dxa"/>
          </w:tcPr>
          <w:p w14:paraId="695D9F98" w14:textId="44304C67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3975.269</w:t>
            </w:r>
          </w:p>
        </w:tc>
        <w:tc>
          <w:tcPr>
            <w:tcW w:w="1351" w:type="dxa"/>
          </w:tcPr>
          <w:p w14:paraId="47C076DE" w14:textId="0D5D651A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4437.801</w:t>
            </w:r>
          </w:p>
        </w:tc>
        <w:tc>
          <w:tcPr>
            <w:tcW w:w="1351" w:type="dxa"/>
          </w:tcPr>
          <w:p w14:paraId="3D9CFBAA" w14:textId="31F20853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601.982</w:t>
            </w:r>
          </w:p>
        </w:tc>
        <w:tc>
          <w:tcPr>
            <w:tcW w:w="1351" w:type="dxa"/>
          </w:tcPr>
          <w:p w14:paraId="4A6F7A81" w14:textId="1076CDFD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1720.968</w:t>
            </w:r>
          </w:p>
        </w:tc>
      </w:tr>
      <w:tr w:rsidR="00FE4BB2" w:rsidRPr="009E436F" w14:paraId="3FBA0391" w14:textId="77777777" w:rsidTr="00FC6EF9">
        <w:tc>
          <w:tcPr>
            <w:tcW w:w="2391" w:type="dxa"/>
          </w:tcPr>
          <w:p w14:paraId="023F5FD1" w14:textId="141974E6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</w:tcPr>
          <w:p w14:paraId="544B7AB0" w14:textId="1E040B9C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3978.989</w:t>
            </w:r>
          </w:p>
        </w:tc>
        <w:tc>
          <w:tcPr>
            <w:tcW w:w="1351" w:type="dxa"/>
          </w:tcPr>
          <w:p w14:paraId="6EAEA0C2" w14:textId="171D8BB3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4534.774</w:t>
            </w:r>
          </w:p>
        </w:tc>
        <w:tc>
          <w:tcPr>
            <w:tcW w:w="1351" w:type="dxa"/>
          </w:tcPr>
          <w:p w14:paraId="3C5A15C2" w14:textId="039DDB9B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555.702</w:t>
            </w:r>
          </w:p>
        </w:tc>
        <w:tc>
          <w:tcPr>
            <w:tcW w:w="1351" w:type="dxa"/>
          </w:tcPr>
          <w:p w14:paraId="670180E0" w14:textId="11C9CAEC" w:rsidR="00FE4BB2" w:rsidRPr="00FE4BB2" w:rsidRDefault="00FE4BB2" w:rsidP="00FE4BB2">
            <w:pPr>
              <w:pStyle w:val="Comp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FE4BB2">
              <w:rPr>
                <w:rFonts w:ascii="Times New Roman" w:hAnsi="Times New Roman" w:cs="Times New Roman"/>
              </w:rPr>
              <w:t>1498.315</w:t>
            </w:r>
          </w:p>
        </w:tc>
      </w:tr>
    </w:tbl>
    <w:p w14:paraId="5E27A49F" w14:textId="40C0C015" w:rsidR="00BC77FB" w:rsidRPr="009E436F" w:rsidRDefault="00BC77FB" w:rsidP="00BC77FB">
      <w:pPr>
        <w:pStyle w:val="BlockText"/>
        <w:rPr>
          <w:rFonts w:ascii="Times New Roman" w:hAnsi="Times New Roman" w:cs="Times New Roman"/>
        </w:rPr>
      </w:pPr>
      <w:r w:rsidRPr="009E436F">
        <w:rPr>
          <w:rFonts w:ascii="Times New Roman" w:hAnsi="Times New Roman" w:cs="Times New Roman"/>
        </w:rPr>
        <w:t>Five latent classes were chosen as a balance of minimizing the AIC and BIC and model interpretation. AIC: Akaike information criterion; BIC: Bayesian information criterion; G</w:t>
      </w:r>
      <w:r w:rsidRPr="009E436F">
        <w:rPr>
          <w:rFonts w:ascii="Times New Roman" w:hAnsi="Times New Roman" w:cs="Times New Roman"/>
          <w:vertAlign w:val="superscript"/>
        </w:rPr>
        <w:t>2</w:t>
      </w:r>
      <w:r w:rsidRPr="009E436F">
        <w:rPr>
          <w:rFonts w:ascii="Times New Roman" w:hAnsi="Times New Roman" w:cs="Times New Roman"/>
        </w:rPr>
        <w:t>: likelihood-ratio statistic; Chi-sq: Chi-squared</w:t>
      </w:r>
      <w:r w:rsidR="00A57142">
        <w:rPr>
          <w:rFonts w:ascii="Times New Roman" w:hAnsi="Times New Roman" w:cs="Times New Roman"/>
        </w:rPr>
        <w:t>.</w:t>
      </w:r>
    </w:p>
    <w:p w14:paraId="1B50D337" w14:textId="28D224D8" w:rsidR="00FA5B9F" w:rsidRPr="009E436F" w:rsidRDefault="00FA5B9F">
      <w:pPr>
        <w:rPr>
          <w:rFonts w:ascii="Times New Roman" w:hAnsi="Times New Roman" w:cs="Times New Roman"/>
          <w:b/>
        </w:rPr>
      </w:pPr>
    </w:p>
    <w:sectPr w:rsidR="00FA5B9F" w:rsidRPr="009E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0105" w14:textId="77777777" w:rsidR="00DB7FDA" w:rsidRDefault="00DB7FDA" w:rsidP="0085081A">
      <w:pPr>
        <w:spacing w:after="0" w:line="240" w:lineRule="auto"/>
      </w:pPr>
      <w:r>
        <w:separator/>
      </w:r>
    </w:p>
  </w:endnote>
  <w:endnote w:type="continuationSeparator" w:id="0">
    <w:p w14:paraId="5EE4873C" w14:textId="77777777" w:rsidR="00DB7FDA" w:rsidRDefault="00DB7FDA" w:rsidP="0085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BEEF" w14:textId="77777777" w:rsidR="00DB7FDA" w:rsidRDefault="00DB7FDA" w:rsidP="0085081A">
      <w:pPr>
        <w:spacing w:after="0" w:line="240" w:lineRule="auto"/>
      </w:pPr>
      <w:r>
        <w:separator/>
      </w:r>
    </w:p>
  </w:footnote>
  <w:footnote w:type="continuationSeparator" w:id="0">
    <w:p w14:paraId="1F1F62BF" w14:textId="77777777" w:rsidR="00DB7FDA" w:rsidRDefault="00DB7FDA" w:rsidP="00850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E8"/>
    <w:rsid w:val="00045E5B"/>
    <w:rsid w:val="00050A0C"/>
    <w:rsid w:val="00085B2C"/>
    <w:rsid w:val="00210067"/>
    <w:rsid w:val="002B0615"/>
    <w:rsid w:val="002D643A"/>
    <w:rsid w:val="002E2AA8"/>
    <w:rsid w:val="002E3891"/>
    <w:rsid w:val="002F4C87"/>
    <w:rsid w:val="00327F86"/>
    <w:rsid w:val="003B1E13"/>
    <w:rsid w:val="003C6F8D"/>
    <w:rsid w:val="00466FC3"/>
    <w:rsid w:val="0046797E"/>
    <w:rsid w:val="00497505"/>
    <w:rsid w:val="00532EF7"/>
    <w:rsid w:val="0053653E"/>
    <w:rsid w:val="00537E1E"/>
    <w:rsid w:val="00540601"/>
    <w:rsid w:val="005A56AC"/>
    <w:rsid w:val="005E5C10"/>
    <w:rsid w:val="005F13D2"/>
    <w:rsid w:val="00660D9B"/>
    <w:rsid w:val="00676A5D"/>
    <w:rsid w:val="00686FD7"/>
    <w:rsid w:val="006B5119"/>
    <w:rsid w:val="006C7FC2"/>
    <w:rsid w:val="00723268"/>
    <w:rsid w:val="00752B8C"/>
    <w:rsid w:val="007C4E24"/>
    <w:rsid w:val="00820CA2"/>
    <w:rsid w:val="0085081A"/>
    <w:rsid w:val="008617DE"/>
    <w:rsid w:val="008777A4"/>
    <w:rsid w:val="008B03A2"/>
    <w:rsid w:val="00914052"/>
    <w:rsid w:val="0096441A"/>
    <w:rsid w:val="009C61B5"/>
    <w:rsid w:val="009E436F"/>
    <w:rsid w:val="009E44C7"/>
    <w:rsid w:val="00A57142"/>
    <w:rsid w:val="00AB0FCF"/>
    <w:rsid w:val="00AB7C54"/>
    <w:rsid w:val="00AD5697"/>
    <w:rsid w:val="00B420C1"/>
    <w:rsid w:val="00B62B91"/>
    <w:rsid w:val="00BC0C08"/>
    <w:rsid w:val="00BC77FB"/>
    <w:rsid w:val="00BF64A6"/>
    <w:rsid w:val="00C3007A"/>
    <w:rsid w:val="00C4027E"/>
    <w:rsid w:val="00C45CCA"/>
    <w:rsid w:val="00C718E8"/>
    <w:rsid w:val="00CA052C"/>
    <w:rsid w:val="00CA3DC5"/>
    <w:rsid w:val="00CC4DD0"/>
    <w:rsid w:val="00CF6326"/>
    <w:rsid w:val="00D0007F"/>
    <w:rsid w:val="00D33B08"/>
    <w:rsid w:val="00DB7FDA"/>
    <w:rsid w:val="00E07543"/>
    <w:rsid w:val="00E168AE"/>
    <w:rsid w:val="00E34C2C"/>
    <w:rsid w:val="00E51749"/>
    <w:rsid w:val="00E51950"/>
    <w:rsid w:val="00E52A27"/>
    <w:rsid w:val="00EF693B"/>
    <w:rsid w:val="00F13C7D"/>
    <w:rsid w:val="00F911FC"/>
    <w:rsid w:val="00FA1A22"/>
    <w:rsid w:val="00FA5B9F"/>
    <w:rsid w:val="00FC22CF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5FBB"/>
  <w15:chartTrackingRefBased/>
  <w15:docId w15:val="{C5E23696-3E70-4DA4-88B1-C92DE99F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E8"/>
    <w:rPr>
      <w:rFonts w:ascii="Arial" w:eastAsia="SimSu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C0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C718E8"/>
    <w:pPr>
      <w:spacing w:before="180" w:after="180"/>
    </w:pPr>
  </w:style>
  <w:style w:type="paragraph" w:customStyle="1" w:styleId="Compact">
    <w:name w:val="Compact"/>
    <w:basedOn w:val="BodyText"/>
    <w:qFormat/>
    <w:rsid w:val="00F911FC"/>
    <w:pPr>
      <w:spacing w:before="36" w:after="36"/>
    </w:pPr>
    <w:rPr>
      <w:sz w:val="20"/>
    </w:rPr>
  </w:style>
  <w:style w:type="paragraph" w:styleId="BlockText">
    <w:name w:val="Block Text"/>
    <w:basedOn w:val="BodyText"/>
    <w:next w:val="BodyText"/>
    <w:uiPriority w:val="9"/>
    <w:unhideWhenUsed/>
    <w:qFormat/>
    <w:rsid w:val="00BC0C08"/>
    <w:pPr>
      <w:spacing w:before="100" w:after="100"/>
    </w:pPr>
    <w:rPr>
      <w:rFonts w:eastAsiaTheme="majorEastAsia" w:cstheme="majorBidi"/>
      <w:bCs/>
      <w:szCs w:val="20"/>
    </w:rPr>
  </w:style>
  <w:style w:type="table" w:customStyle="1" w:styleId="Table">
    <w:name w:val="Table"/>
    <w:semiHidden/>
    <w:unhideWhenUsed/>
    <w:qFormat/>
    <w:rsid w:val="00C718E8"/>
    <w:pPr>
      <w:spacing w:after="200" w:line="240" w:lineRule="auto"/>
    </w:pPr>
    <w:rPr>
      <w:rFonts w:eastAsia="SimSun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C71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8E8"/>
    <w:rPr>
      <w:rFonts w:ascii="Arial" w:eastAsia="SimSun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BC0C08"/>
    <w:rPr>
      <w:rFonts w:ascii="Arial" w:eastAsiaTheme="majorEastAsia" w:hAnsi="Arial" w:cstheme="majorBidi"/>
      <w:b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466FC3"/>
    <w:pPr>
      <w:spacing w:after="0" w:line="240" w:lineRule="auto"/>
    </w:pPr>
    <w:rPr>
      <w:rFonts w:ascii="Arial" w:eastAsia="SimSun" w:hAnsi="Arial"/>
    </w:rPr>
  </w:style>
  <w:style w:type="paragraph" w:styleId="Header">
    <w:name w:val="header"/>
    <w:basedOn w:val="Normal"/>
    <w:link w:val="HeaderChar"/>
    <w:uiPriority w:val="99"/>
    <w:unhideWhenUsed/>
    <w:rsid w:val="0085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1A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85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1A"/>
    <w:rPr>
      <w:rFonts w:ascii="Arial" w:eastAsia="SimSun" w:hAnsi="Arial"/>
    </w:rPr>
  </w:style>
  <w:style w:type="table" w:styleId="ListTable2">
    <w:name w:val="List Table 2"/>
    <w:basedOn w:val="TableNormal"/>
    <w:uiPriority w:val="47"/>
    <w:rsid w:val="002100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33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B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4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D0"/>
    <w:rPr>
      <w:rFonts w:ascii="Arial" w:eastAsia="SimSu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D0"/>
    <w:rPr>
      <w:rFonts w:ascii="Arial" w:eastAsia="SimSun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ListTable21">
    <w:name w:val="List Table 21"/>
    <w:basedOn w:val="TableNormal"/>
    <w:next w:val="ListTable2"/>
    <w:uiPriority w:val="47"/>
    <w:rsid w:val="00FE4BB2"/>
    <w:pPr>
      <w:spacing w:after="0" w:line="240" w:lineRule="auto"/>
    </w:pPr>
    <w:rPr>
      <w:rFonts w:eastAsia="SimSun"/>
      <w:sz w:val="24"/>
      <w:szCs w:val="24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zhao@rockefeller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B.XSL" StyleName="GB7714" Version="2005"/>
</file>

<file path=customXml/itemProps1.xml><?xml version="1.0" encoding="utf-8"?>
<ds:datastoreItem xmlns:ds="http://schemas.openxmlformats.org/officeDocument/2006/customXml" ds:itemID="{5DBA65CA-E951-1949-9523-BB242D09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Zheng</dc:creator>
  <cp:keywords/>
  <dc:description/>
  <cp:lastModifiedBy>Li Zhao</cp:lastModifiedBy>
  <cp:revision>9</cp:revision>
  <dcterms:created xsi:type="dcterms:W3CDTF">2022-07-29T05:23:00Z</dcterms:created>
  <dcterms:modified xsi:type="dcterms:W3CDTF">2022-09-21T15:14:00Z</dcterms:modified>
</cp:coreProperties>
</file>