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proofErr w:type="spellStart"/>
      <w:r>
        <w:rPr>
          <w:rFonts w:ascii="Noto Sans" w:eastAsia="Noto Sans" w:hAnsi="Noto Sans" w:cs="Noto Sans"/>
          <w:i/>
          <w:sz w:val="20"/>
          <w:szCs w:val="20"/>
        </w:rPr>
        <w:t>eLife</w:t>
      </w:r>
      <w:proofErr w:type="spellEnd"/>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proofErr w:type="spellStart"/>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sidRPr="006F0B0B">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7601C754" w:rsidR="00F102CC" w:rsidRPr="003D5AF6" w:rsidRDefault="00547778">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We added a section titled </w:t>
            </w:r>
            <w:r>
              <w:rPr>
                <w:rFonts w:ascii="Noto Sans" w:eastAsia="Noto Sans" w:hAnsi="Noto Sans" w:cs="Noto Sans"/>
                <w:color w:val="434343"/>
                <w:sz w:val="18"/>
                <w:szCs w:val="18"/>
              </w:rPr>
              <w:t>"materials availability statement" (Section 7 in main text)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2BFB2EC"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82489D0" w:rsidR="00F102CC" w:rsidRPr="003D5AF6" w:rsidRDefault="0070634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341DAD27" w:rsidR="00F102CC" w:rsidRPr="003D5AF6" w:rsidRDefault="0070634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0E49FC01"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630E821F" w:rsidR="00F102CC" w:rsidRPr="003D5AF6" w:rsidRDefault="0070634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7C26788D" w:rsidR="00F102CC" w:rsidRPr="003D5AF6" w:rsidRDefault="0070634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089F65D8" w:rsidR="00F102CC" w:rsidRPr="003D5AF6" w:rsidRDefault="00C526C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sidRPr="00706344">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2F4FAFE6" w:rsidR="00F102CC" w:rsidRPr="003D5AF6" w:rsidRDefault="0015572C">
            <w:pPr>
              <w:rPr>
                <w:rFonts w:ascii="Noto Sans" w:eastAsia="Noto Sans" w:hAnsi="Noto Sans" w:cs="Noto Sans"/>
                <w:bCs/>
                <w:color w:val="434343"/>
                <w:sz w:val="18"/>
                <w:szCs w:val="18"/>
              </w:rPr>
            </w:pPr>
            <w:r w:rsidRPr="00970392">
              <w:rPr>
                <w:rFonts w:ascii="Noto Sans" w:eastAsia="Noto Sans" w:hAnsi="Noto Sans" w:cs="Noto Sans"/>
                <w:bCs/>
                <w:i/>
                <w:iCs/>
                <w:color w:val="434343"/>
                <w:sz w:val="18"/>
                <w:szCs w:val="18"/>
              </w:rPr>
              <w:t xml:space="preserve">Photinus </w:t>
            </w:r>
            <w:proofErr w:type="spellStart"/>
            <w:r w:rsidRPr="00970392">
              <w:rPr>
                <w:rFonts w:ascii="Noto Sans" w:eastAsia="Noto Sans" w:hAnsi="Noto Sans" w:cs="Noto Sans"/>
                <w:bCs/>
                <w:i/>
                <w:iCs/>
                <w:color w:val="434343"/>
                <w:sz w:val="18"/>
                <w:szCs w:val="18"/>
              </w:rPr>
              <w:t>carolinus</w:t>
            </w:r>
            <w:proofErr w:type="spellEnd"/>
            <w:r>
              <w:rPr>
                <w:rFonts w:ascii="Noto Sans" w:eastAsia="Noto Sans" w:hAnsi="Noto Sans" w:cs="Noto Sans"/>
                <w:bCs/>
                <w:color w:val="434343"/>
                <w:sz w:val="18"/>
                <w:szCs w:val="18"/>
              </w:rPr>
              <w:t xml:space="preserve"> (Coleoptera, Lampyridae); males; adult stage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7777777" w:rsidR="00F102CC" w:rsidRPr="003D5AF6" w:rsidRDefault="00F102CC">
            <w:pPr>
              <w:rPr>
                <w:rFonts w:ascii="Noto Sans" w:eastAsia="Noto Sans" w:hAnsi="Noto Sans" w:cs="Noto Sans"/>
                <w:bCs/>
                <w:color w:val="434343"/>
                <w:sz w:val="18"/>
                <w:szCs w:val="18"/>
              </w:rPr>
            </w:pP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605BC61" w:rsidR="00F102CC" w:rsidRPr="003D5AF6" w:rsidRDefault="0070634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31E190C8" w:rsidR="00F102CC" w:rsidRPr="003D5AF6" w:rsidRDefault="0070634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41713948" w:rsidR="00F102CC" w:rsidRPr="00706344" w:rsidRDefault="00706344">
            <w:pPr>
              <w:rPr>
                <w:rFonts w:ascii="Noto Sans" w:eastAsia="Noto Sans" w:hAnsi="Noto Sans" w:cs="Noto Sans"/>
                <w:bCs/>
                <w:color w:val="434343"/>
                <w:sz w:val="18"/>
                <w:szCs w:val="18"/>
              </w:rPr>
            </w:pPr>
            <w:r w:rsidRPr="00706344">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3D3A23AE" w:rsidR="00F102CC" w:rsidRPr="003D5AF6" w:rsidRDefault="0070634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7901A77B" w:rsidR="00F102CC" w:rsidRPr="003D5AF6" w:rsidRDefault="0070634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sidRPr="00015FFA">
              <w:rPr>
                <w:rFonts w:ascii="Noto Sans" w:eastAsia="Noto Sans" w:hAnsi="Noto Sans" w:cs="Noto Sans"/>
                <w:b/>
                <w:color w:val="434343"/>
                <w:sz w:val="18"/>
                <w:szCs w:val="18"/>
              </w:rPr>
              <w:lastRenderedPageBreak/>
              <w:t xml:space="preserve">Experimental study design (statistics </w:t>
            </w:r>
            <w:r w:rsidR="001B3BCC" w:rsidRPr="00015FFA">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176BF30C" w:rsidR="00F102CC" w:rsidRPr="003D5AF6" w:rsidRDefault="00791B7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At least 10; maximum number of replicates allowed in overall experimental campaign time constraints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13DFCBBA" w:rsidR="00F102CC" w:rsidRPr="00015FFA" w:rsidRDefault="00015FF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13ED5FF0" w:rsidR="00F102CC" w:rsidRPr="003D5AF6" w:rsidRDefault="00015FF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457BA187" w:rsidR="00F102CC" w:rsidRPr="003D5AF6" w:rsidRDefault="009F172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All captured individuals visually identified as </w:t>
            </w:r>
            <w:r w:rsidRPr="009F1725">
              <w:rPr>
                <w:rFonts w:ascii="Noto Sans" w:eastAsia="Noto Sans" w:hAnsi="Noto Sans" w:cs="Noto Sans"/>
                <w:bCs/>
                <w:i/>
                <w:iCs/>
                <w:color w:val="434343"/>
                <w:sz w:val="18"/>
                <w:szCs w:val="18"/>
              </w:rPr>
              <w:t xml:space="preserve">P. </w:t>
            </w:r>
            <w:proofErr w:type="spellStart"/>
            <w:r w:rsidRPr="009F1725">
              <w:rPr>
                <w:rFonts w:ascii="Noto Sans" w:eastAsia="Noto Sans" w:hAnsi="Noto Sans" w:cs="Noto Sans"/>
                <w:bCs/>
                <w:i/>
                <w:iCs/>
                <w:color w:val="434343"/>
                <w:sz w:val="18"/>
                <w:szCs w:val="18"/>
              </w:rPr>
              <w:t>carolinus</w:t>
            </w:r>
            <w:proofErr w:type="spellEnd"/>
            <w:r w:rsidRPr="009F1725">
              <w:rPr>
                <w:rFonts w:ascii="Noto Sans" w:eastAsia="Noto Sans" w:hAnsi="Noto Sans" w:cs="Noto Sans"/>
                <w:bCs/>
                <w:i/>
                <w:iCs/>
                <w:color w:val="434343"/>
                <w:sz w:val="18"/>
                <w:szCs w:val="18"/>
              </w:rPr>
              <w:t xml:space="preserve"> </w:t>
            </w:r>
            <w:r>
              <w:rPr>
                <w:rFonts w:ascii="Noto Sans" w:eastAsia="Noto Sans" w:hAnsi="Noto Sans" w:cs="Noto Sans"/>
                <w:bCs/>
                <w:color w:val="434343"/>
                <w:sz w:val="18"/>
                <w:szCs w:val="18"/>
              </w:rPr>
              <w:t>males were included.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Pr="00DA58DD" w:rsidRDefault="00427975">
            <w:pPr>
              <w:rPr>
                <w:rFonts w:ascii="Noto Sans" w:eastAsia="Noto Sans" w:hAnsi="Noto Sans" w:cs="Noto Sans"/>
                <w:b/>
                <w:color w:val="434343"/>
                <w:sz w:val="18"/>
                <w:szCs w:val="18"/>
                <w:highlight w:val="yellow"/>
              </w:rPr>
            </w:pPr>
            <w:r w:rsidRPr="00FB2816">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175E98DE" w:rsidR="00F102CC" w:rsidRPr="003D5AF6" w:rsidRDefault="00F422E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10 replicates done in a portable laboratory (set up in the field)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4140ABEC" w:rsidR="00F102CC" w:rsidRPr="003D5AF6" w:rsidRDefault="00F422E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Biological replicates (different individuals)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8EA3BC1" w:rsidR="00F102CC" w:rsidRPr="003D5AF6" w:rsidRDefault="00FB281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01CB8C2B" w:rsidR="00F102CC" w:rsidRPr="003D5AF6" w:rsidRDefault="00FB281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sidRPr="00FB2816">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53878DA8" w:rsidR="00F102CC" w:rsidRPr="003D5AF6" w:rsidRDefault="00F9451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Permits were obtained from the National Park Service (Great Smoky Mountains National Park) for a range of field experiments in 2019 and 2020.</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7777777" w:rsidR="00F102CC" w:rsidRPr="003D5AF6" w:rsidRDefault="00F102CC">
            <w:pPr>
              <w:spacing w:line="225" w:lineRule="auto"/>
              <w:rPr>
                <w:rFonts w:ascii="Noto Sans" w:eastAsia="Noto Sans" w:hAnsi="Noto Sans" w:cs="Noto Sans"/>
                <w:bCs/>
                <w:color w:val="434343"/>
                <w:sz w:val="18"/>
                <w:szCs w:val="18"/>
              </w:rPr>
            </w:pP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32CFF592" w:rsidR="00F102CC" w:rsidRPr="003D5AF6" w:rsidRDefault="00FB281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rsidTr="0EA845EB">
        <w:trPr>
          <w:trHeight w:val="425"/>
        </w:trPr>
        <w:tc>
          <w:tcPr>
            <w:tcW w:w="55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sidRPr="00FB2816">
              <w:rPr>
                <w:rFonts w:ascii="Noto Sans" w:eastAsia="Noto Sans" w:hAnsi="Noto Sans" w:cs="Noto Sans"/>
                <w:b/>
                <w:color w:val="434343"/>
                <w:sz w:val="18"/>
                <w:szCs w:val="18"/>
              </w:rPr>
              <w:t>Attrition</w:t>
            </w:r>
          </w:p>
        </w:tc>
        <w:tc>
          <w:tcPr>
            <w:tcW w:w="3165" w:type="dxa"/>
            <w:tcBorders>
              <w:top w:val="single" w:sz="8" w:space="0" w:color="000000" w:themeColor="text1"/>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themeColor="text1"/>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EA845EB">
        <w:trPr>
          <w:trHeight w:val="1060"/>
        </w:trPr>
        <w:tc>
          <w:tcPr>
            <w:tcW w:w="5565"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D68462B" w14:textId="77777777" w:rsidR="00F102CC" w:rsidRDefault="00A10BA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Exclusion criteria regarding biological specimen had been pre-establish.</w:t>
            </w:r>
          </w:p>
          <w:p w14:paraId="2A306ED2" w14:textId="616476F5" w:rsidR="00A10BA9" w:rsidRPr="003D5AF6" w:rsidRDefault="00A10BA9">
            <w:pPr>
              <w:spacing w:line="225" w:lineRule="auto"/>
              <w:rPr>
                <w:rFonts w:ascii="Noto Sans" w:eastAsia="Noto Sans" w:hAnsi="Noto Sans" w:cs="Noto Sans"/>
                <w:bCs/>
                <w:color w:val="434343"/>
                <w:sz w:val="18"/>
                <w:szCs w:val="18"/>
              </w:rPr>
            </w:pPr>
            <w:proofErr w:type="spellStart"/>
            <w:r>
              <w:rPr>
                <w:rFonts w:ascii="Noto Sans" w:eastAsia="Noto Sans" w:hAnsi="Noto Sans" w:cs="Noto Sans"/>
                <w:bCs/>
                <w:color w:val="434343"/>
                <w:sz w:val="18"/>
                <w:szCs w:val="18"/>
              </w:rPr>
              <w:t>Interflash</w:t>
            </w:r>
            <w:proofErr w:type="spellEnd"/>
            <w:r>
              <w:rPr>
                <w:rFonts w:ascii="Noto Sans" w:eastAsia="Noto Sans" w:hAnsi="Noto Sans" w:cs="Noto Sans"/>
                <w:bCs/>
                <w:color w:val="434343"/>
                <w:sz w:val="18"/>
                <w:szCs w:val="18"/>
              </w:rPr>
              <w:t xml:space="preserve"> intervals corresponding to duration between successive flashes within the same flash phrase were excluded (cutoff 3s).</w:t>
            </w:r>
          </w:p>
        </w:tc>
        <w:tc>
          <w:tcPr>
            <w:tcW w:w="97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rsidTr="0EA845EB">
        <w:trPr>
          <w:trHeight w:val="425"/>
        </w:trPr>
        <w:tc>
          <w:tcPr>
            <w:tcW w:w="5565" w:type="dxa"/>
            <w:tcBorders>
              <w:top w:val="nil"/>
              <w:left w:val="nil"/>
              <w:bottom w:val="single" w:sz="8" w:space="0" w:color="000000" w:themeColor="text1"/>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themeColor="text1"/>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themeColor="text1"/>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rsidTr="0EA845EB">
        <w:trPr>
          <w:trHeight w:val="425"/>
        </w:trPr>
        <w:tc>
          <w:tcPr>
            <w:tcW w:w="5565" w:type="dxa"/>
            <w:tcBorders>
              <w:top w:val="nil"/>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sidRPr="00AA3D76">
              <w:rPr>
                <w:rFonts w:ascii="Noto Sans" w:eastAsia="Noto Sans" w:hAnsi="Noto Sans" w:cs="Noto Sans"/>
                <w:b/>
                <w:color w:val="434343"/>
                <w:sz w:val="18"/>
                <w:szCs w:val="18"/>
              </w:rPr>
              <w:t>Statistics</w:t>
            </w:r>
          </w:p>
        </w:tc>
        <w:tc>
          <w:tcPr>
            <w:tcW w:w="316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EA845EB">
        <w:trPr>
          <w:trHeight w:val="419"/>
        </w:trPr>
        <w:tc>
          <w:tcPr>
            <w:tcW w:w="5565"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4E0127B"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331D778" w14:textId="5CC7947F" w:rsidR="00F102CC" w:rsidRPr="003D5AF6" w:rsidRDefault="00AA3D7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08D42A1" w14:textId="77777777" w:rsidTr="0EA845EB">
        <w:trPr>
          <w:trHeight w:val="425"/>
        </w:trPr>
        <w:tc>
          <w:tcPr>
            <w:tcW w:w="5565" w:type="dxa"/>
            <w:tcBorders>
              <w:top w:val="nil"/>
              <w:left w:val="nil"/>
              <w:bottom w:val="single" w:sz="8" w:space="0" w:color="000000" w:themeColor="text1"/>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themeColor="text1"/>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themeColor="text1"/>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rsidTr="0EA845EB">
        <w:trPr>
          <w:trHeight w:val="425"/>
        </w:trPr>
        <w:tc>
          <w:tcPr>
            <w:tcW w:w="5565" w:type="dxa"/>
            <w:tcBorders>
              <w:top w:val="nil"/>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sidRPr="00AA3D76">
              <w:rPr>
                <w:rFonts w:ascii="Noto Sans" w:eastAsia="Noto Sans" w:hAnsi="Noto Sans" w:cs="Noto Sans"/>
                <w:b/>
                <w:color w:val="434343"/>
                <w:sz w:val="18"/>
                <w:szCs w:val="18"/>
              </w:rPr>
              <w:t>Data availability</w:t>
            </w:r>
          </w:p>
        </w:tc>
        <w:tc>
          <w:tcPr>
            <w:tcW w:w="316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BC1A3D" w14:paraId="52659522" w14:textId="77777777" w:rsidTr="0EA845EB">
        <w:trPr>
          <w:trHeight w:val="829"/>
        </w:trPr>
        <w:tc>
          <w:tcPr>
            <w:tcW w:w="5565"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1DE4884" w14:textId="77777777" w:rsidR="00BC1A3D" w:rsidRDefault="00BC1A3D" w:rsidP="00BC1A3D">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790A381" w14:textId="0E4A2D0D" w:rsidR="00BC1A3D" w:rsidRPr="003D5AF6" w:rsidRDefault="00BC1A3D" w:rsidP="00BC1A3D">
            <w:pPr>
              <w:spacing w:line="225" w:lineRule="auto"/>
              <w:rPr>
                <w:rFonts w:ascii="Noto Sans" w:eastAsia="Noto Sans" w:hAnsi="Noto Sans" w:cs="Noto Sans"/>
                <w:color w:val="434343"/>
                <w:sz w:val="18"/>
                <w:szCs w:val="18"/>
              </w:rPr>
            </w:pPr>
            <w:r>
              <w:rPr>
                <w:rFonts w:ascii="Noto Sans" w:eastAsia="Noto Sans" w:hAnsi="Noto Sans" w:cs="Noto Sans"/>
                <w:bCs/>
                <w:color w:val="434343"/>
                <w:sz w:val="18"/>
                <w:szCs w:val="18"/>
              </w:rPr>
              <w:t xml:space="preserve">We added a section titled </w:t>
            </w:r>
            <w:r>
              <w:rPr>
                <w:rFonts w:ascii="Noto Sans" w:eastAsia="Noto Sans" w:hAnsi="Noto Sans" w:cs="Noto Sans"/>
                <w:color w:val="434343"/>
                <w:sz w:val="18"/>
                <w:szCs w:val="18"/>
              </w:rPr>
              <w:t xml:space="preserve">"materials availability statement" (Section 7 in main text) that provides details for access. </w:t>
            </w:r>
          </w:p>
        </w:tc>
        <w:tc>
          <w:tcPr>
            <w:tcW w:w="97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2DD6482" w14:textId="36834CE9" w:rsidR="00BC1A3D" w:rsidRPr="003D5AF6" w:rsidRDefault="00BC1A3D" w:rsidP="00BC1A3D">
            <w:pPr>
              <w:spacing w:line="225" w:lineRule="auto"/>
              <w:rPr>
                <w:rFonts w:ascii="Noto Sans" w:eastAsia="Noto Sans" w:hAnsi="Noto Sans" w:cs="Noto Sans"/>
                <w:bCs/>
                <w:color w:val="434343"/>
                <w:sz w:val="18"/>
                <w:szCs w:val="18"/>
              </w:rPr>
            </w:pPr>
          </w:p>
        </w:tc>
      </w:tr>
      <w:tr w:rsidR="00BC1A3D" w14:paraId="2BD96493" w14:textId="77777777" w:rsidTr="0EA845EB">
        <w:trPr>
          <w:trHeight w:val="875"/>
        </w:trPr>
        <w:tc>
          <w:tcPr>
            <w:tcW w:w="5565"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E172540" w14:textId="7CA0E3A4" w:rsidR="00BC1A3D" w:rsidRDefault="00BC1A3D" w:rsidP="00BC1A3D">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8FCD14D" w14:textId="7F1991AC" w:rsidR="00BC1A3D" w:rsidRPr="003D5AF6" w:rsidRDefault="00BC1A3D" w:rsidP="00BC1A3D">
            <w:pPr>
              <w:spacing w:line="225" w:lineRule="auto"/>
              <w:rPr>
                <w:rFonts w:ascii="Noto Sans" w:eastAsia="Noto Sans" w:hAnsi="Noto Sans" w:cs="Noto Sans"/>
                <w:color w:val="434343"/>
                <w:sz w:val="18"/>
                <w:szCs w:val="18"/>
              </w:rPr>
            </w:pPr>
            <w:r w:rsidRPr="00BC1A3D">
              <w:rPr>
                <w:rFonts w:ascii="Noto Sans" w:eastAsia="Noto Sans" w:hAnsi="Noto Sans" w:cs="Noto Sans"/>
                <w:bCs/>
                <w:color w:val="434343"/>
                <w:sz w:val="18"/>
                <w:szCs w:val="18"/>
              </w:rPr>
              <w:t>The data that support the findings of this study are openly available in the GitHub repository https://github.com/peleg-lab/EmergentPeriodicity</w:t>
            </w:r>
          </w:p>
        </w:tc>
        <w:tc>
          <w:tcPr>
            <w:tcW w:w="97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5F67B00" w14:textId="28AD67BF" w:rsidR="00BC1A3D" w:rsidRPr="003D5AF6" w:rsidRDefault="00BC1A3D" w:rsidP="00BC1A3D">
            <w:pPr>
              <w:spacing w:line="225" w:lineRule="auto"/>
              <w:rPr>
                <w:rFonts w:ascii="Noto Sans" w:eastAsia="Noto Sans" w:hAnsi="Noto Sans" w:cs="Noto Sans"/>
                <w:color w:val="434343"/>
                <w:sz w:val="18"/>
                <w:szCs w:val="18"/>
              </w:rPr>
            </w:pPr>
          </w:p>
        </w:tc>
      </w:tr>
      <w:tr w:rsidR="00BC1A3D" w14:paraId="194458A2" w14:textId="77777777" w:rsidTr="0EA845EB">
        <w:trPr>
          <w:trHeight w:val="706"/>
        </w:trPr>
        <w:tc>
          <w:tcPr>
            <w:tcW w:w="5565"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DF4305F" w14:textId="553ACA52" w:rsidR="00BC1A3D" w:rsidRDefault="00BC1A3D" w:rsidP="00BC1A3D">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BF0859A" w14:textId="77777777" w:rsidR="00BC1A3D" w:rsidRPr="003D5AF6" w:rsidRDefault="00BC1A3D" w:rsidP="00BC1A3D">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5423DA9" w14:textId="7E40E3FC" w:rsidR="00BC1A3D" w:rsidRPr="003D5AF6" w:rsidRDefault="00BC1A3D" w:rsidP="00BC1A3D">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N/A</w:t>
            </w:r>
          </w:p>
        </w:tc>
      </w:tr>
      <w:tr w:rsidR="00BC1A3D" w14:paraId="196EA570" w14:textId="77777777" w:rsidTr="0EA845EB">
        <w:trPr>
          <w:trHeight w:val="425"/>
        </w:trPr>
        <w:tc>
          <w:tcPr>
            <w:tcW w:w="5565" w:type="dxa"/>
            <w:tcBorders>
              <w:top w:val="nil"/>
              <w:left w:val="nil"/>
              <w:bottom w:val="single" w:sz="8" w:space="0" w:color="000000" w:themeColor="text1"/>
              <w:right w:val="nil"/>
            </w:tcBorders>
            <w:shd w:val="clear" w:color="auto" w:fill="auto"/>
            <w:tcMar>
              <w:top w:w="100" w:type="dxa"/>
              <w:left w:w="100" w:type="dxa"/>
              <w:bottom w:w="100" w:type="dxa"/>
              <w:right w:w="100" w:type="dxa"/>
            </w:tcMar>
          </w:tcPr>
          <w:p w14:paraId="6E090954" w14:textId="77777777" w:rsidR="00BC1A3D" w:rsidRPr="003D5AF6" w:rsidRDefault="00BC1A3D" w:rsidP="00BC1A3D">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themeColor="text1"/>
              <w:right w:val="nil"/>
            </w:tcBorders>
            <w:shd w:val="clear" w:color="auto" w:fill="auto"/>
            <w:tcMar>
              <w:top w:w="100" w:type="dxa"/>
              <w:left w:w="100" w:type="dxa"/>
              <w:bottom w:w="100" w:type="dxa"/>
              <w:right w:w="100" w:type="dxa"/>
            </w:tcMar>
          </w:tcPr>
          <w:p w14:paraId="6BB7CA7B" w14:textId="77777777" w:rsidR="00BC1A3D" w:rsidRDefault="00BC1A3D" w:rsidP="00BC1A3D">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themeColor="text1"/>
              <w:right w:val="nil"/>
            </w:tcBorders>
            <w:shd w:val="clear" w:color="auto" w:fill="auto"/>
            <w:tcMar>
              <w:top w:w="100" w:type="dxa"/>
              <w:left w:w="100" w:type="dxa"/>
              <w:bottom w:w="100" w:type="dxa"/>
              <w:right w:w="100" w:type="dxa"/>
            </w:tcMar>
          </w:tcPr>
          <w:p w14:paraId="04DFD157" w14:textId="77777777" w:rsidR="00BC1A3D" w:rsidRDefault="00BC1A3D" w:rsidP="00BC1A3D">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BC1A3D" w14:paraId="144773F8" w14:textId="77777777" w:rsidTr="0EA845EB">
        <w:trPr>
          <w:trHeight w:val="635"/>
        </w:trPr>
        <w:tc>
          <w:tcPr>
            <w:tcW w:w="5565" w:type="dxa"/>
            <w:tcBorders>
              <w:top w:val="nil"/>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44CD8152" w14:textId="77777777" w:rsidR="00BC1A3D" w:rsidRDefault="00BC1A3D" w:rsidP="00BC1A3D">
            <w:pPr>
              <w:rPr>
                <w:rFonts w:ascii="Noto Sans" w:eastAsia="Noto Sans" w:hAnsi="Noto Sans" w:cs="Noto Sans"/>
                <w:b/>
                <w:color w:val="434343"/>
                <w:sz w:val="18"/>
                <w:szCs w:val="18"/>
              </w:rPr>
            </w:pPr>
            <w:r w:rsidRPr="00856CF5">
              <w:rPr>
                <w:rFonts w:ascii="Noto Sans" w:eastAsia="Noto Sans" w:hAnsi="Noto Sans" w:cs="Noto Sans"/>
                <w:b/>
                <w:color w:val="434343"/>
                <w:sz w:val="18"/>
                <w:szCs w:val="18"/>
              </w:rPr>
              <w:t>Code availability</w:t>
            </w:r>
          </w:p>
        </w:tc>
        <w:tc>
          <w:tcPr>
            <w:tcW w:w="316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1AE6F325" w14:textId="77777777" w:rsidR="00BC1A3D" w:rsidRDefault="00BC1A3D" w:rsidP="00BC1A3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290A8971" w14:textId="77777777" w:rsidR="00BC1A3D" w:rsidRDefault="00BC1A3D" w:rsidP="00BC1A3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BC1A3D" w14:paraId="11F2CC2B" w14:textId="77777777" w:rsidTr="0EA845EB">
        <w:trPr>
          <w:trHeight w:val="1341"/>
        </w:trPr>
        <w:tc>
          <w:tcPr>
            <w:tcW w:w="5565"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438A240" w14:textId="10A90826" w:rsidR="00BC1A3D" w:rsidRDefault="00BC1A3D" w:rsidP="00BC1A3D">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BB52AB8" w14:textId="771ED838" w:rsidR="00BC1A3D" w:rsidRPr="003D5AF6" w:rsidRDefault="00856CF5" w:rsidP="00BC1A3D">
            <w:pPr>
              <w:spacing w:line="225" w:lineRule="auto"/>
              <w:rPr>
                <w:rFonts w:ascii="Noto Sans" w:eastAsia="Noto Sans" w:hAnsi="Noto Sans" w:cs="Noto Sans"/>
                <w:color w:val="434343"/>
                <w:sz w:val="18"/>
                <w:szCs w:val="18"/>
              </w:rPr>
            </w:pPr>
            <w:r>
              <w:rPr>
                <w:rFonts w:ascii="Noto Sans" w:eastAsia="Noto Sans" w:hAnsi="Noto Sans" w:cs="Noto Sans"/>
                <w:bCs/>
                <w:color w:val="434343"/>
                <w:sz w:val="18"/>
                <w:szCs w:val="18"/>
              </w:rPr>
              <w:t xml:space="preserve">We added a section titled </w:t>
            </w:r>
            <w:r>
              <w:rPr>
                <w:rFonts w:ascii="Noto Sans" w:eastAsia="Noto Sans" w:hAnsi="Noto Sans" w:cs="Noto Sans"/>
                <w:color w:val="434343"/>
                <w:sz w:val="18"/>
                <w:szCs w:val="18"/>
              </w:rPr>
              <w:t xml:space="preserve">"materials availability statement" (Section 7 in main text) that provides details for access. </w:t>
            </w:r>
          </w:p>
        </w:tc>
        <w:tc>
          <w:tcPr>
            <w:tcW w:w="97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034BAE5" w14:textId="0BF1534B" w:rsidR="00BC1A3D" w:rsidRPr="003D5AF6" w:rsidRDefault="00BC1A3D" w:rsidP="00BC1A3D">
            <w:pPr>
              <w:spacing w:line="225" w:lineRule="auto"/>
              <w:rPr>
                <w:rFonts w:ascii="Noto Sans" w:eastAsia="Noto Sans" w:hAnsi="Noto Sans" w:cs="Noto Sans"/>
                <w:bCs/>
                <w:color w:val="434343"/>
                <w:sz w:val="18"/>
                <w:szCs w:val="18"/>
              </w:rPr>
            </w:pPr>
          </w:p>
        </w:tc>
      </w:tr>
      <w:tr w:rsidR="00BC1A3D" w14:paraId="1178CAC5" w14:textId="77777777" w:rsidTr="0EA845EB">
        <w:trPr>
          <w:trHeight w:val="1080"/>
        </w:trPr>
        <w:tc>
          <w:tcPr>
            <w:tcW w:w="5565"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A8F5375" w14:textId="22D9E917" w:rsidR="00BC1A3D" w:rsidRDefault="00BC1A3D" w:rsidP="00BC1A3D">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7816E11" w14:textId="6A47C586" w:rsidR="00BC1A3D" w:rsidRPr="003D5AF6" w:rsidRDefault="00856CF5" w:rsidP="00BC1A3D">
            <w:pPr>
              <w:spacing w:line="225" w:lineRule="auto"/>
              <w:rPr>
                <w:rFonts w:ascii="Noto Sans" w:eastAsia="Noto Sans" w:hAnsi="Noto Sans" w:cs="Noto Sans"/>
                <w:color w:val="434343"/>
              </w:rPr>
            </w:pPr>
            <w:r w:rsidRPr="00BC1A3D">
              <w:rPr>
                <w:rFonts w:ascii="Noto Sans" w:eastAsia="Noto Sans" w:hAnsi="Noto Sans" w:cs="Noto Sans"/>
                <w:bCs/>
                <w:color w:val="434343"/>
                <w:sz w:val="18"/>
                <w:szCs w:val="18"/>
              </w:rPr>
              <w:t xml:space="preserve">The </w:t>
            </w:r>
            <w:r>
              <w:rPr>
                <w:rFonts w:ascii="Noto Sans" w:eastAsia="Noto Sans" w:hAnsi="Noto Sans" w:cs="Noto Sans"/>
                <w:bCs/>
                <w:color w:val="434343"/>
                <w:sz w:val="18"/>
                <w:szCs w:val="18"/>
              </w:rPr>
              <w:t>code</w:t>
            </w:r>
            <w:r w:rsidRPr="00BC1A3D">
              <w:rPr>
                <w:rFonts w:ascii="Noto Sans" w:eastAsia="Noto Sans" w:hAnsi="Noto Sans" w:cs="Noto Sans"/>
                <w:bCs/>
                <w:color w:val="434343"/>
                <w:sz w:val="18"/>
                <w:szCs w:val="18"/>
              </w:rPr>
              <w:t xml:space="preserve"> that </w:t>
            </w:r>
            <w:proofErr w:type="gramStart"/>
            <w:r w:rsidRPr="00BC1A3D">
              <w:rPr>
                <w:rFonts w:ascii="Noto Sans" w:eastAsia="Noto Sans" w:hAnsi="Noto Sans" w:cs="Noto Sans"/>
                <w:bCs/>
                <w:color w:val="434343"/>
                <w:sz w:val="18"/>
                <w:szCs w:val="18"/>
              </w:rPr>
              <w:t>support</w:t>
            </w:r>
            <w:proofErr w:type="gramEnd"/>
            <w:r w:rsidRPr="00BC1A3D">
              <w:rPr>
                <w:rFonts w:ascii="Noto Sans" w:eastAsia="Noto Sans" w:hAnsi="Noto Sans" w:cs="Noto Sans"/>
                <w:bCs/>
                <w:color w:val="434343"/>
                <w:sz w:val="18"/>
                <w:szCs w:val="18"/>
              </w:rPr>
              <w:t xml:space="preserve"> the findings of this study are openly available in the </w:t>
            </w:r>
            <w:proofErr w:type="spellStart"/>
            <w:r w:rsidRPr="00BC1A3D">
              <w:rPr>
                <w:rFonts w:ascii="Noto Sans" w:eastAsia="Noto Sans" w:hAnsi="Noto Sans" w:cs="Noto Sans"/>
                <w:bCs/>
                <w:color w:val="434343"/>
                <w:sz w:val="18"/>
                <w:szCs w:val="18"/>
              </w:rPr>
              <w:t>EmergentPeriodicity</w:t>
            </w:r>
            <w:proofErr w:type="spellEnd"/>
            <w:r w:rsidRPr="00BC1A3D">
              <w:rPr>
                <w:rFonts w:ascii="Noto Sans" w:eastAsia="Noto Sans" w:hAnsi="Noto Sans" w:cs="Noto Sans"/>
                <w:bCs/>
                <w:color w:val="434343"/>
                <w:sz w:val="18"/>
                <w:szCs w:val="18"/>
              </w:rPr>
              <w:t xml:space="preserve"> GitHub repository https://github.com/peleg-lab/EmergentPeriodicity</w:t>
            </w:r>
          </w:p>
        </w:tc>
        <w:tc>
          <w:tcPr>
            <w:tcW w:w="97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B6875B8" w14:textId="44151E64" w:rsidR="00BC1A3D" w:rsidRPr="003D5AF6" w:rsidRDefault="00BC1A3D" w:rsidP="00BC1A3D">
            <w:pPr>
              <w:spacing w:line="225" w:lineRule="auto"/>
              <w:rPr>
                <w:rFonts w:ascii="Noto Sans" w:eastAsia="Noto Sans" w:hAnsi="Noto Sans" w:cs="Noto Sans"/>
                <w:bCs/>
                <w:color w:val="434343"/>
                <w:sz w:val="18"/>
                <w:szCs w:val="18"/>
              </w:rPr>
            </w:pPr>
          </w:p>
        </w:tc>
      </w:tr>
      <w:tr w:rsidR="00BC1A3D" w14:paraId="7047B99D" w14:textId="77777777" w:rsidTr="0EA845EB">
        <w:trPr>
          <w:trHeight w:val="720"/>
        </w:trPr>
        <w:tc>
          <w:tcPr>
            <w:tcW w:w="5565"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207A083" w14:textId="77777777" w:rsidR="00BC1A3D" w:rsidRDefault="00BC1A3D" w:rsidP="00BC1A3D">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9A59D3A" w14:textId="6D90A49B" w:rsidR="00BC1A3D" w:rsidRPr="003D5AF6" w:rsidRDefault="00BC1A3D" w:rsidP="00BC1A3D">
            <w:pPr>
              <w:spacing w:line="225" w:lineRule="auto"/>
              <w:rPr>
                <w:rFonts w:ascii="Noto Sans" w:eastAsia="Noto Sans" w:hAnsi="Noto Sans" w:cs="Noto Sans"/>
                <w:color w:val="434343"/>
                <w:sz w:val="18"/>
                <w:szCs w:val="18"/>
              </w:rPr>
            </w:pPr>
          </w:p>
        </w:tc>
        <w:tc>
          <w:tcPr>
            <w:tcW w:w="97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18D9987" w14:textId="30C7090E" w:rsidR="00BC1A3D" w:rsidRPr="003D5AF6" w:rsidRDefault="0037244B" w:rsidP="00BC1A3D">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 xml:space="preserve">The MDAR framework recommends adoption of discipline-specific guidelines, </w:t>
      </w:r>
      <w:proofErr w:type="gramStart"/>
      <w:r>
        <w:rPr>
          <w:rFonts w:ascii="Noto Sans" w:eastAsia="Noto Sans" w:hAnsi="Noto Sans" w:cs="Noto Sans"/>
          <w:color w:val="434343"/>
          <w:sz w:val="18"/>
          <w:szCs w:val="18"/>
        </w:rPr>
        <w:t>established</w:t>
      </w:r>
      <w:proofErr w:type="gramEnd"/>
      <w:r>
        <w:rPr>
          <w:rFonts w:ascii="Noto Sans" w:eastAsia="Noto Sans" w:hAnsi="Noto Sans" w:cs="Noto Sans"/>
          <w:color w:val="434343"/>
          <w:sz w:val="18"/>
          <w:szCs w:val="18"/>
        </w:rPr>
        <w:t xml:space="preserve">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7D163D96" w:rsidR="00F102CC" w:rsidRPr="003D5AF6" w:rsidRDefault="0037244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2E3149">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lastRenderedPageBreak/>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15477E" w14:textId="77777777" w:rsidR="002E3149" w:rsidRDefault="002E3149">
      <w:r>
        <w:separator/>
      </w:r>
    </w:p>
  </w:endnote>
  <w:endnote w:type="continuationSeparator" w:id="0">
    <w:p w14:paraId="4B5694AC" w14:textId="77777777" w:rsidR="002E3149" w:rsidRDefault="002E31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DDA98F" w14:textId="77777777" w:rsidR="002E3149" w:rsidRDefault="002E3149">
      <w:r>
        <w:separator/>
      </w:r>
    </w:p>
  </w:footnote>
  <w:footnote w:type="continuationSeparator" w:id="0">
    <w:p w14:paraId="6B6756FD" w14:textId="77777777" w:rsidR="002E3149" w:rsidRDefault="002E31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642153811">
    <w:abstractNumId w:val="2"/>
  </w:num>
  <w:num w:numId="2" w16cid:durableId="1650204484">
    <w:abstractNumId w:val="0"/>
  </w:num>
  <w:num w:numId="3" w16cid:durableId="1246067618">
    <w:abstractNumId w:val="1"/>
  </w:num>
  <w:num w:numId="4" w16cid:durableId="2797266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53"/>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15FFA"/>
    <w:rsid w:val="000D7955"/>
    <w:rsid w:val="0015572C"/>
    <w:rsid w:val="001B3BCC"/>
    <w:rsid w:val="001E01A1"/>
    <w:rsid w:val="002209A8"/>
    <w:rsid w:val="002E3149"/>
    <w:rsid w:val="0037244B"/>
    <w:rsid w:val="00394860"/>
    <w:rsid w:val="003D5AF6"/>
    <w:rsid w:val="00427975"/>
    <w:rsid w:val="004E2C31"/>
    <w:rsid w:val="00506461"/>
    <w:rsid w:val="00547778"/>
    <w:rsid w:val="005A07B3"/>
    <w:rsid w:val="005B0259"/>
    <w:rsid w:val="006F0B0B"/>
    <w:rsid w:val="007054B6"/>
    <w:rsid w:val="00706344"/>
    <w:rsid w:val="00711185"/>
    <w:rsid w:val="00791B7D"/>
    <w:rsid w:val="00856CF5"/>
    <w:rsid w:val="00970392"/>
    <w:rsid w:val="009C7B26"/>
    <w:rsid w:val="009F1725"/>
    <w:rsid w:val="00A10BA9"/>
    <w:rsid w:val="00A11E52"/>
    <w:rsid w:val="00AA3D76"/>
    <w:rsid w:val="00BC1A3D"/>
    <w:rsid w:val="00BD06C3"/>
    <w:rsid w:val="00BD41E9"/>
    <w:rsid w:val="00C526C0"/>
    <w:rsid w:val="00C84413"/>
    <w:rsid w:val="00DA58DD"/>
    <w:rsid w:val="00E471D3"/>
    <w:rsid w:val="00F102CC"/>
    <w:rsid w:val="00F422ED"/>
    <w:rsid w:val="00F91042"/>
    <w:rsid w:val="00F94518"/>
    <w:rsid w:val="00FB2816"/>
    <w:rsid w:val="0EA845EB"/>
    <w:rsid w:val="4623528C"/>
    <w:rsid w:val="7274D4E3"/>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1618</Words>
  <Characters>9224</Characters>
  <Application>Microsoft Office Word</Application>
  <DocSecurity>0</DocSecurity>
  <Lines>76</Lines>
  <Paragraphs>21</Paragraphs>
  <ScaleCrop>false</ScaleCrop>
  <Company/>
  <LinksUpToDate>false</LinksUpToDate>
  <CharactersWithSpaces>10821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Orit Peleg</cp:lastModifiedBy>
  <cp:revision>12</cp:revision>
  <dcterms:created xsi:type="dcterms:W3CDTF">2022-04-04T21:20:00Z</dcterms:created>
  <dcterms:modified xsi:type="dcterms:W3CDTF">2022-04-05T02:07:00Z</dcterms:modified>
</cp:coreProperties>
</file>