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Supplementary file 4A. Sensitivity analyses excluding studies of low or medium quality in bone mineral density (BMD) </w:t>
      </w:r>
    </w:p>
    <w:tbl>
      <w:tblPr>
        <w:tblStyle w:val="2"/>
        <w:tblW w:w="89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295"/>
        <w:gridCol w:w="1260"/>
        <w:gridCol w:w="1260"/>
        <w:gridCol w:w="1022"/>
        <w:gridCol w:w="1168"/>
        <w:gridCol w:w="1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Subgroups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studies or subgroups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Effect estimate (95%CI), P-value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Heterogeneity between studies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 for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heterogeneity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between subgroups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</w:t>
            </w:r>
            <w:r>
              <w:rPr>
                <w:rStyle w:val="4"/>
                <w:rFonts w:hint="default" w:ascii="Times New Roman" w:hAnsi="Times New Roman" w:cs="Times New Roman"/>
                <w:sz w:val="16"/>
                <w:szCs w:val="16"/>
                <w:lang w:val="en-US" w:eastAsia="zh-CN" w:bidi="ar"/>
              </w:rPr>
              <w:t>²</w:t>
            </w:r>
            <w:r>
              <w:rPr>
                <w:rStyle w:val="5"/>
                <w:rFonts w:hint="default" w:ascii="Times New Roman" w:hAnsi="Times New Roman" w:eastAsia="宋体" w:cs="Times New Roman"/>
                <w:sz w:val="16"/>
                <w:szCs w:val="16"/>
                <w:lang w:val="en-US" w:eastAsia="zh-CN" w:bidi="ar"/>
              </w:rPr>
              <w:t xml:space="preserve"> (%)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0.413 (0.261 to 0.565), &lt;.001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Total*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0.387 (0.170 to 0.605), &lt;.001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0.090 (-0.044 to 0.224), 0.190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 (-0.068 to 0.327), 0.198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0.627 (0.338 to 0.915), &lt;.001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0.356 (0.064 to 0.648), 0.017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0.257 (-0.053 to 0.566), 0.104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0.320 (-0.075 to 0.715), 0.112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Body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0.330 (0.163 to 0.496), &lt;.001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0.343 (0.098 to 0.588)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, 0.006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 xml:space="preserve">*The pooled results of sensitivity analyses excluding the studies of low or medium quality.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Supplementary file 4B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. Sensitivity analyses excluding studies of low or medium quality in bone mineral content (BMC) </w:t>
      </w:r>
    </w:p>
    <w:tbl>
      <w:tblPr>
        <w:tblStyle w:val="2"/>
        <w:tblW w:w="90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308"/>
        <w:gridCol w:w="1260"/>
        <w:gridCol w:w="1260"/>
        <w:gridCol w:w="1022"/>
        <w:gridCol w:w="1168"/>
        <w:gridCol w:w="12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Subgroups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studies or subgroups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Effect estimate (95%CI), P-value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Heterogeneity between studies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 for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heterogeneity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between subgroups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I² (%)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0.285 (0.154 to 0.415), &lt;.001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0.354 (0.152 to 0.556), 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0.163 (0.008 to 0.317), 0.039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0.182 (-0.024 to 0.388), 0.083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0.364 (0.134 to 0.595), 0.002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0.249 (0.043 to 0.454), 0.018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</w:t>
            </w: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Hip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0.116 (-0.382 to 0.614), 0.648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0.747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-0.009 (-0.482 to 0.465), 0.971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Body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0.149 (0.006 to 0.291), 0.040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Subtotal*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0.199 (-0.022 to 0.420), 0.078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 xml:space="preserve">*The pooled results of sensitivity analyses excluding the studies of low or medium quality. 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3700"/>
    <w:rsid w:val="22A74CB5"/>
    <w:rsid w:val="3CF67868"/>
    <w:rsid w:val="3FB24C6D"/>
    <w:rsid w:val="6B5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2022-01-06T12:00:00Z</dcterms:created>
  <dc:creator>lysm</dc:creator>
  <cp:lastModifiedBy>lysm</cp:lastModifiedBy>
  <dcterms:modified xsi:type="dcterms:W3CDTF">2022-04-08T03:05:20Z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