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8A0C3" w14:textId="3B8A156D" w:rsidR="004E4086" w:rsidRDefault="004E4086" w:rsidP="004E4086">
      <w:pPr>
        <w:jc w:val="both"/>
        <w:rPr>
          <w:rFonts w:ascii="Times New Roman" w:hAnsi="Times New Roman"/>
          <w:bCs/>
        </w:rPr>
      </w:pPr>
      <w:r w:rsidRPr="00E27272">
        <w:rPr>
          <w:rFonts w:ascii="Times New Roman" w:hAnsi="Times New Roman"/>
          <w:bCs/>
          <w:sz w:val="24"/>
          <w:szCs w:val="24"/>
        </w:rPr>
        <w:t xml:space="preserve">Summary of crystallographically determined Se occupancies for KSeCN derived Se-incorporation at the Fe protein cluster under various conditions. </w:t>
      </w:r>
      <w:r w:rsidRPr="00F82B00">
        <w:rPr>
          <w:rFonts w:ascii="Times New Roman" w:hAnsi="Times New Roman"/>
          <w:bCs/>
          <w:sz w:val="24"/>
          <w:szCs w:val="24"/>
        </w:rPr>
        <w:t>The occupancies were determined in triplicate</w:t>
      </w:r>
      <w:r w:rsidRPr="00F82B00">
        <w:rPr>
          <w:rFonts w:ascii="Times New Roman" w:hAnsi="Times New Roman"/>
          <w:bCs/>
          <w:sz w:val="24"/>
          <w:szCs w:val="24"/>
          <w:vertAlign w:val="superscript"/>
        </w:rPr>
        <w:t>§</w:t>
      </w:r>
      <w:r w:rsidRPr="00F82B00">
        <w:rPr>
          <w:rFonts w:ascii="Times New Roman" w:hAnsi="Times New Roman"/>
          <w:bCs/>
          <w:sz w:val="24"/>
          <w:szCs w:val="24"/>
        </w:rPr>
        <w:t xml:space="preserve"> by analyzing three crystals </w:t>
      </w:r>
      <w:r>
        <w:rPr>
          <w:rFonts w:ascii="Times New Roman" w:hAnsi="Times New Roman"/>
          <w:bCs/>
          <w:sz w:val="24"/>
          <w:szCs w:val="24"/>
        </w:rPr>
        <w:t xml:space="preserve">prepared from a specified </w:t>
      </w:r>
      <w:r w:rsidRPr="00F82B00">
        <w:rPr>
          <w:rFonts w:ascii="Times New Roman" w:hAnsi="Times New Roman"/>
          <w:bCs/>
          <w:sz w:val="24"/>
          <w:szCs w:val="24"/>
        </w:rPr>
        <w:t>set of reaction conditions.</w:t>
      </w:r>
      <w:r>
        <w:rPr>
          <w:rFonts w:ascii="Times New Roman" w:hAnsi="Times New Roman"/>
          <w:bCs/>
        </w:rPr>
        <w:t xml:space="preserve"> </w:t>
      </w:r>
    </w:p>
    <w:p w14:paraId="24DC2B1D" w14:textId="77777777" w:rsidR="004E4086" w:rsidRDefault="004E4086" w:rsidP="004E4086">
      <w:pPr>
        <w:jc w:val="both"/>
        <w:rPr>
          <w:rFonts w:ascii="Times New Roman" w:hAnsi="Times New Roman"/>
          <w:bCs/>
        </w:rPr>
      </w:pPr>
    </w:p>
    <w:tbl>
      <w:tblPr>
        <w:tblW w:w="98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756"/>
        <w:gridCol w:w="3426"/>
        <w:gridCol w:w="2820"/>
        <w:gridCol w:w="1367"/>
        <w:gridCol w:w="1453"/>
      </w:tblGrid>
      <w:tr w:rsidR="004E4086" w:rsidRPr="001A28A1" w14:paraId="33FCB7C5" w14:textId="77777777" w:rsidTr="00635FA3">
        <w:tc>
          <w:tcPr>
            <w:tcW w:w="756" w:type="dxa"/>
            <w:vAlign w:val="center"/>
          </w:tcPr>
          <w:p w14:paraId="2D6EBBF2" w14:textId="77777777" w:rsidR="004E4086" w:rsidRPr="008E527E" w:rsidRDefault="004E4086" w:rsidP="00635FA3">
            <w:pPr>
              <w:pStyle w:val="Style1t"/>
              <w:rPr>
                <w:b/>
                <w:bCs/>
              </w:rPr>
            </w:pPr>
            <w:r w:rsidRPr="008E527E">
              <w:rPr>
                <w:b/>
                <w:bCs/>
              </w:rPr>
              <w:t>Entry</w:t>
            </w:r>
          </w:p>
        </w:tc>
        <w:tc>
          <w:tcPr>
            <w:tcW w:w="3426" w:type="dxa"/>
            <w:vAlign w:val="center"/>
          </w:tcPr>
          <w:p w14:paraId="0C2D068A" w14:textId="77777777" w:rsidR="004E4086" w:rsidRPr="008E527E" w:rsidRDefault="004E4086" w:rsidP="00635FA3">
            <w:pPr>
              <w:pStyle w:val="Style1t"/>
              <w:rPr>
                <w:b/>
                <w:bCs/>
              </w:rPr>
            </w:pPr>
            <w:r w:rsidRPr="008E527E">
              <w:rPr>
                <w:b/>
                <w:bCs/>
              </w:rPr>
              <w:t>Brief Description of reaction conditions*</w:t>
            </w:r>
          </w:p>
        </w:tc>
        <w:tc>
          <w:tcPr>
            <w:tcW w:w="2820" w:type="dxa"/>
            <w:vAlign w:val="center"/>
          </w:tcPr>
          <w:p w14:paraId="36608485" w14:textId="77777777" w:rsidR="004E4086" w:rsidRDefault="004E4086" w:rsidP="00635FA3">
            <w:pPr>
              <w:pStyle w:val="Style1t"/>
              <w:rPr>
                <w:b/>
                <w:bCs/>
              </w:rPr>
            </w:pPr>
            <w:r w:rsidRPr="008E527E">
              <w:rPr>
                <w:b/>
                <w:bCs/>
              </w:rPr>
              <w:t xml:space="preserve">X3 </w:t>
            </w:r>
            <w:r>
              <w:rPr>
                <w:b/>
                <w:bCs/>
              </w:rPr>
              <w:t>Occupancy</w:t>
            </w:r>
          </w:p>
          <w:p w14:paraId="2FC8B87C" w14:textId="77777777" w:rsidR="004E4086" w:rsidRDefault="004E4086" w:rsidP="00635FA3">
            <w:pPr>
              <w:pStyle w:val="Style1t"/>
              <w:rPr>
                <w:b/>
                <w:bCs/>
              </w:rPr>
            </w:pPr>
            <w:r>
              <w:rPr>
                <w:b/>
                <w:bCs/>
              </w:rPr>
              <w:t>individual refined occupancies</w:t>
            </w:r>
          </w:p>
          <w:p w14:paraId="425A428A" w14:textId="77777777" w:rsidR="004E4086" w:rsidRPr="008E527E" w:rsidRDefault="004E4086" w:rsidP="00635FA3">
            <w:pPr>
              <w:pStyle w:val="Style1t"/>
              <w:rPr>
                <w:b/>
                <w:bCs/>
              </w:rPr>
            </w:pPr>
            <w:r w:rsidRPr="008E527E">
              <w:rPr>
                <w:b/>
                <w:bCs/>
              </w:rPr>
              <w:t>(</w:t>
            </w:r>
            <w:r>
              <w:rPr>
                <w:b/>
                <w:bCs/>
              </w:rPr>
              <w:t>a</w:t>
            </w:r>
            <w:r w:rsidRPr="008E527E">
              <w:rPr>
                <w:b/>
                <w:bCs/>
              </w:rPr>
              <w:t xml:space="preserve">verage + </w:t>
            </w:r>
            <w:r>
              <w:rPr>
                <w:b/>
                <w:bCs/>
              </w:rPr>
              <w:t>s</w:t>
            </w:r>
            <w:r w:rsidRPr="008E527E">
              <w:rPr>
                <w:b/>
                <w:bCs/>
              </w:rPr>
              <w:t xml:space="preserve">tandard </w:t>
            </w:r>
            <w:r>
              <w:rPr>
                <w:b/>
                <w:bCs/>
              </w:rPr>
              <w:t>d</w:t>
            </w:r>
            <w:r w:rsidRPr="008E527E">
              <w:rPr>
                <w:b/>
                <w:bCs/>
              </w:rPr>
              <w:t>eviation)</w:t>
            </w:r>
          </w:p>
        </w:tc>
        <w:tc>
          <w:tcPr>
            <w:tcW w:w="2820" w:type="dxa"/>
            <w:gridSpan w:val="2"/>
            <w:vAlign w:val="center"/>
          </w:tcPr>
          <w:p w14:paraId="1BB78BA4" w14:textId="77777777" w:rsidR="004E4086" w:rsidRDefault="004E4086" w:rsidP="00635FA3">
            <w:pPr>
              <w:pStyle w:val="Style1t"/>
              <w:rPr>
                <w:b/>
                <w:bCs/>
              </w:rPr>
            </w:pPr>
            <w:r w:rsidRPr="008E527E">
              <w:rPr>
                <w:b/>
                <w:bCs/>
              </w:rPr>
              <w:t>X</w:t>
            </w:r>
            <w:r>
              <w:rPr>
                <w:b/>
                <w:bCs/>
              </w:rPr>
              <w:t>4</w:t>
            </w:r>
            <w:r w:rsidRPr="008E527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Occupancy</w:t>
            </w:r>
          </w:p>
          <w:p w14:paraId="6B74CE72" w14:textId="77777777" w:rsidR="004E4086" w:rsidRDefault="004E4086" w:rsidP="00635FA3">
            <w:pPr>
              <w:pStyle w:val="Style1t"/>
              <w:rPr>
                <w:b/>
                <w:bCs/>
              </w:rPr>
            </w:pPr>
            <w:r>
              <w:rPr>
                <w:b/>
                <w:bCs/>
              </w:rPr>
              <w:t>individual refined occupancies</w:t>
            </w:r>
          </w:p>
          <w:p w14:paraId="7B20CA45" w14:textId="77777777" w:rsidR="004E4086" w:rsidRPr="008E527E" w:rsidRDefault="004E4086" w:rsidP="00635FA3">
            <w:pPr>
              <w:pStyle w:val="Style1t"/>
              <w:rPr>
                <w:b/>
                <w:bCs/>
              </w:rPr>
            </w:pPr>
            <w:r w:rsidRPr="008E527E">
              <w:rPr>
                <w:b/>
                <w:bCs/>
              </w:rPr>
              <w:t>(</w:t>
            </w:r>
            <w:r>
              <w:rPr>
                <w:b/>
                <w:bCs/>
              </w:rPr>
              <w:t>a</w:t>
            </w:r>
            <w:r w:rsidRPr="008E527E">
              <w:rPr>
                <w:b/>
                <w:bCs/>
              </w:rPr>
              <w:t xml:space="preserve">verage + </w:t>
            </w:r>
            <w:r>
              <w:rPr>
                <w:b/>
                <w:bCs/>
              </w:rPr>
              <w:t>s</w:t>
            </w:r>
            <w:r w:rsidRPr="008E527E">
              <w:rPr>
                <w:b/>
                <w:bCs/>
              </w:rPr>
              <w:t xml:space="preserve">tandard </w:t>
            </w:r>
            <w:r>
              <w:rPr>
                <w:b/>
                <w:bCs/>
              </w:rPr>
              <w:t>d</w:t>
            </w:r>
            <w:r w:rsidRPr="008E527E">
              <w:rPr>
                <w:b/>
                <w:bCs/>
              </w:rPr>
              <w:t>eviation)</w:t>
            </w:r>
          </w:p>
        </w:tc>
      </w:tr>
      <w:tr w:rsidR="004E4086" w14:paraId="6B51E1F0" w14:textId="77777777" w:rsidTr="00635FA3">
        <w:tc>
          <w:tcPr>
            <w:tcW w:w="756" w:type="dxa"/>
            <w:vAlign w:val="center"/>
          </w:tcPr>
          <w:p w14:paraId="0122E067" w14:textId="77777777" w:rsidR="004E4086" w:rsidRPr="008E527E" w:rsidRDefault="004E4086" w:rsidP="00635FA3">
            <w:pPr>
              <w:pStyle w:val="Style1t"/>
              <w:rPr>
                <w:b/>
                <w:bCs/>
              </w:rPr>
            </w:pPr>
            <w:r w:rsidRPr="008E527E">
              <w:rPr>
                <w:b/>
                <w:bCs/>
              </w:rPr>
              <w:t>1</w:t>
            </w:r>
          </w:p>
        </w:tc>
        <w:tc>
          <w:tcPr>
            <w:tcW w:w="3426" w:type="dxa"/>
            <w:vAlign w:val="center"/>
          </w:tcPr>
          <w:p w14:paraId="32078F1C" w14:textId="77777777" w:rsidR="004E4086" w:rsidRPr="001A28A1" w:rsidRDefault="004E4086" w:rsidP="00635FA3">
            <w:pPr>
              <w:pStyle w:val="Style1t"/>
            </w:pPr>
            <w:r>
              <w:t>22 mM KSeCN, w/ MoFe protein</w:t>
            </w:r>
          </w:p>
        </w:tc>
        <w:tc>
          <w:tcPr>
            <w:tcW w:w="2820" w:type="dxa"/>
            <w:vAlign w:val="center"/>
          </w:tcPr>
          <w:p w14:paraId="6709E7C8" w14:textId="77777777" w:rsidR="004E4086" w:rsidRDefault="004E4086" w:rsidP="00635FA3">
            <w:pPr>
              <w:pStyle w:val="Style1t"/>
            </w:pPr>
            <w:r>
              <w:t>0.51, 0.39, 0.62</w:t>
            </w:r>
          </w:p>
          <w:p w14:paraId="020DDB5C" w14:textId="77777777" w:rsidR="004E4086" w:rsidRPr="001A28A1" w:rsidRDefault="004E4086" w:rsidP="00635FA3">
            <w:pPr>
              <w:pStyle w:val="Style1t"/>
            </w:pPr>
            <w:r>
              <w:t xml:space="preserve"> (0.51 </w:t>
            </w:r>
            <w:r w:rsidRPr="0070773F">
              <w:t>±</w:t>
            </w:r>
            <w:r>
              <w:t xml:space="preserve"> 0.09)</w:t>
            </w:r>
          </w:p>
        </w:tc>
        <w:tc>
          <w:tcPr>
            <w:tcW w:w="2820" w:type="dxa"/>
            <w:gridSpan w:val="2"/>
            <w:vAlign w:val="center"/>
          </w:tcPr>
          <w:p w14:paraId="68A4FF3C" w14:textId="77777777" w:rsidR="004E4086" w:rsidRDefault="004E4086" w:rsidP="00635FA3">
            <w:pPr>
              <w:pStyle w:val="Style1t"/>
            </w:pPr>
            <w:r>
              <w:t>0.45, 0.35, 0.48</w:t>
            </w:r>
          </w:p>
          <w:p w14:paraId="1CE07E16" w14:textId="77777777" w:rsidR="004E4086" w:rsidRPr="001A28A1" w:rsidRDefault="004E4086" w:rsidP="00635FA3">
            <w:pPr>
              <w:pStyle w:val="Style1t"/>
            </w:pPr>
            <w:r>
              <w:t xml:space="preserve"> (0.43 </w:t>
            </w:r>
            <w:r w:rsidRPr="0070773F">
              <w:t>±</w:t>
            </w:r>
            <w:r>
              <w:t xml:space="preserve"> 0.06)</w:t>
            </w:r>
          </w:p>
        </w:tc>
      </w:tr>
      <w:tr w:rsidR="004E4086" w14:paraId="53A6B3D8" w14:textId="77777777" w:rsidTr="00635FA3">
        <w:tc>
          <w:tcPr>
            <w:tcW w:w="756" w:type="dxa"/>
            <w:vAlign w:val="center"/>
          </w:tcPr>
          <w:p w14:paraId="3F55AD1F" w14:textId="77777777" w:rsidR="004E4086" w:rsidRPr="008E527E" w:rsidRDefault="004E4086" w:rsidP="00635FA3">
            <w:pPr>
              <w:pStyle w:val="Style1t"/>
              <w:rPr>
                <w:b/>
                <w:bCs/>
              </w:rPr>
            </w:pPr>
            <w:r w:rsidRPr="008E527E">
              <w:rPr>
                <w:b/>
                <w:bCs/>
              </w:rPr>
              <w:t>2</w:t>
            </w:r>
          </w:p>
        </w:tc>
        <w:tc>
          <w:tcPr>
            <w:tcW w:w="3426" w:type="dxa"/>
            <w:vAlign w:val="center"/>
          </w:tcPr>
          <w:p w14:paraId="54DF5EB2" w14:textId="77777777" w:rsidR="004E4086" w:rsidRPr="001A28A1" w:rsidRDefault="004E4086" w:rsidP="00635FA3">
            <w:pPr>
              <w:pStyle w:val="Style1t"/>
            </w:pPr>
            <w:r>
              <w:t>22 mM KSeCN</w:t>
            </w:r>
          </w:p>
        </w:tc>
        <w:tc>
          <w:tcPr>
            <w:tcW w:w="2820" w:type="dxa"/>
            <w:vAlign w:val="center"/>
          </w:tcPr>
          <w:p w14:paraId="1840A3BD" w14:textId="77777777" w:rsidR="004E4086" w:rsidRDefault="004E4086" w:rsidP="00635FA3">
            <w:pPr>
              <w:pStyle w:val="Style1t"/>
            </w:pPr>
            <w:r>
              <w:t>0.59, 0.57, 0.54, 0.63</w:t>
            </w:r>
          </w:p>
          <w:p w14:paraId="02D651AC" w14:textId="77777777" w:rsidR="004E4086" w:rsidRPr="001A28A1" w:rsidRDefault="004E4086" w:rsidP="00635FA3">
            <w:pPr>
              <w:pStyle w:val="Style1t"/>
            </w:pPr>
            <w:r>
              <w:t xml:space="preserve"> (0.58 </w:t>
            </w:r>
            <w:r w:rsidRPr="0070773F">
              <w:t>±</w:t>
            </w:r>
            <w:r>
              <w:t xml:space="preserve"> 0.03)</w:t>
            </w:r>
          </w:p>
        </w:tc>
        <w:tc>
          <w:tcPr>
            <w:tcW w:w="2820" w:type="dxa"/>
            <w:gridSpan w:val="2"/>
            <w:vAlign w:val="center"/>
          </w:tcPr>
          <w:p w14:paraId="7307D5F3" w14:textId="77777777" w:rsidR="004E4086" w:rsidRDefault="004E4086" w:rsidP="00635FA3">
            <w:pPr>
              <w:pStyle w:val="Style1t"/>
            </w:pPr>
            <w:r>
              <w:t xml:space="preserve">0.38, 0.36, 0.32, 0.45 </w:t>
            </w:r>
          </w:p>
          <w:p w14:paraId="0EA7BA67" w14:textId="77777777" w:rsidR="004E4086" w:rsidRPr="001A28A1" w:rsidRDefault="004E4086" w:rsidP="00635FA3">
            <w:pPr>
              <w:pStyle w:val="Style1t"/>
            </w:pPr>
            <w:r>
              <w:t xml:space="preserve">(0.38 </w:t>
            </w:r>
            <w:r w:rsidRPr="0070773F">
              <w:t>±</w:t>
            </w:r>
            <w:r>
              <w:t xml:space="preserve"> 0.05)</w:t>
            </w:r>
          </w:p>
        </w:tc>
      </w:tr>
      <w:tr w:rsidR="004E4086" w14:paraId="33ACDAAD" w14:textId="77777777" w:rsidTr="00635FA3">
        <w:tc>
          <w:tcPr>
            <w:tcW w:w="756" w:type="dxa"/>
          </w:tcPr>
          <w:p w14:paraId="3D4E48AD" w14:textId="77777777" w:rsidR="004E4086" w:rsidRPr="008E527E" w:rsidRDefault="004E4086" w:rsidP="00635FA3">
            <w:pPr>
              <w:pStyle w:val="Style1t"/>
              <w:rPr>
                <w:b/>
                <w:bCs/>
              </w:rPr>
            </w:pPr>
            <w:r w:rsidRPr="008E527E">
              <w:rPr>
                <w:b/>
                <w:bCs/>
              </w:rPr>
              <w:t>3</w:t>
            </w:r>
          </w:p>
        </w:tc>
        <w:tc>
          <w:tcPr>
            <w:tcW w:w="3426" w:type="dxa"/>
          </w:tcPr>
          <w:p w14:paraId="7F46DB34" w14:textId="77777777" w:rsidR="004E4086" w:rsidRPr="001A28A1" w:rsidRDefault="004E4086" w:rsidP="00635FA3">
            <w:pPr>
              <w:pStyle w:val="Style1t"/>
            </w:pPr>
            <w:r>
              <w:t>11 mM KSeCN</w:t>
            </w:r>
          </w:p>
        </w:tc>
        <w:tc>
          <w:tcPr>
            <w:tcW w:w="2820" w:type="dxa"/>
            <w:tcBorders>
              <w:bottom w:val="single" w:sz="6" w:space="0" w:color="000000"/>
            </w:tcBorders>
          </w:tcPr>
          <w:p w14:paraId="5C54493C" w14:textId="77777777" w:rsidR="004E4086" w:rsidRDefault="004E4086" w:rsidP="00635FA3">
            <w:pPr>
              <w:pStyle w:val="Style1t"/>
            </w:pPr>
            <w:r>
              <w:t xml:space="preserve">0.08, 0.09, 0.04 </w:t>
            </w:r>
          </w:p>
          <w:p w14:paraId="288A59A4" w14:textId="77777777" w:rsidR="004E4086" w:rsidRPr="001A28A1" w:rsidRDefault="004E4086" w:rsidP="00635FA3">
            <w:pPr>
              <w:pStyle w:val="Style1t"/>
            </w:pPr>
            <w:r>
              <w:t xml:space="preserve">(0.07 </w:t>
            </w:r>
            <w:r w:rsidRPr="0070773F">
              <w:t>±</w:t>
            </w:r>
            <w:r>
              <w:t xml:space="preserve"> 0.02)</w:t>
            </w:r>
          </w:p>
        </w:tc>
        <w:tc>
          <w:tcPr>
            <w:tcW w:w="2820" w:type="dxa"/>
            <w:gridSpan w:val="2"/>
            <w:tcBorders>
              <w:bottom w:val="single" w:sz="6" w:space="0" w:color="000000"/>
            </w:tcBorders>
          </w:tcPr>
          <w:p w14:paraId="5E9DB00F" w14:textId="77777777" w:rsidR="004E4086" w:rsidRDefault="004E4086" w:rsidP="00635FA3">
            <w:pPr>
              <w:pStyle w:val="Style1t"/>
            </w:pPr>
            <w:r>
              <w:t xml:space="preserve">0.02, 0.09, 0.07 </w:t>
            </w:r>
          </w:p>
          <w:p w14:paraId="6278143A" w14:textId="77777777" w:rsidR="004E4086" w:rsidRPr="001A28A1" w:rsidRDefault="004E4086" w:rsidP="00635FA3">
            <w:pPr>
              <w:pStyle w:val="Style1t"/>
            </w:pPr>
            <w:r>
              <w:t xml:space="preserve">(0.06 </w:t>
            </w:r>
            <w:r w:rsidRPr="0070773F">
              <w:t>±</w:t>
            </w:r>
            <w:r>
              <w:t xml:space="preserve"> 0.03)</w:t>
            </w:r>
          </w:p>
        </w:tc>
      </w:tr>
      <w:tr w:rsidR="004E4086" w14:paraId="39141A72" w14:textId="77777777" w:rsidTr="00635FA3">
        <w:tc>
          <w:tcPr>
            <w:tcW w:w="756" w:type="dxa"/>
            <w:tcBorders>
              <w:bottom w:val="nil"/>
            </w:tcBorders>
          </w:tcPr>
          <w:p w14:paraId="094DDE04" w14:textId="77777777" w:rsidR="004E4086" w:rsidRPr="008E527E" w:rsidRDefault="004E4086" w:rsidP="00635FA3">
            <w:pPr>
              <w:pStyle w:val="Style1t"/>
              <w:rPr>
                <w:b/>
                <w:bCs/>
              </w:rPr>
            </w:pPr>
            <w:r w:rsidRPr="008E527E">
              <w:rPr>
                <w:b/>
                <w:bCs/>
              </w:rPr>
              <w:t>4</w:t>
            </w:r>
          </w:p>
        </w:tc>
        <w:tc>
          <w:tcPr>
            <w:tcW w:w="3426" w:type="dxa"/>
            <w:tcBorders>
              <w:bottom w:val="nil"/>
            </w:tcBorders>
          </w:tcPr>
          <w:p w14:paraId="0B4AF7A7" w14:textId="77777777" w:rsidR="004E4086" w:rsidRPr="001A28A1" w:rsidRDefault="004E4086" w:rsidP="00635FA3">
            <w:pPr>
              <w:pStyle w:val="Style1t"/>
            </w:pPr>
            <w:r>
              <w:t>1 mM KSeCN</w:t>
            </w:r>
          </w:p>
        </w:tc>
        <w:tc>
          <w:tcPr>
            <w:tcW w:w="2820" w:type="dxa"/>
            <w:tcBorders>
              <w:bottom w:val="single" w:sz="4" w:space="0" w:color="auto"/>
            </w:tcBorders>
          </w:tcPr>
          <w:p w14:paraId="560B7DFC" w14:textId="77777777" w:rsidR="004E4086" w:rsidRDefault="004E4086" w:rsidP="00635FA3">
            <w:pPr>
              <w:pStyle w:val="Style1t"/>
            </w:pPr>
            <w:r>
              <w:t>0, 0, 0.05</w:t>
            </w:r>
          </w:p>
          <w:p w14:paraId="11ED0EDB" w14:textId="77777777" w:rsidR="004E4086" w:rsidRPr="001A28A1" w:rsidRDefault="004E4086" w:rsidP="00635FA3">
            <w:pPr>
              <w:pStyle w:val="Style1t"/>
            </w:pPr>
            <w:r>
              <w:t xml:space="preserve"> (0.02 </w:t>
            </w:r>
            <w:r w:rsidRPr="0070773F">
              <w:t>±</w:t>
            </w:r>
            <w:r>
              <w:t xml:space="preserve"> 0.01)</w:t>
            </w:r>
          </w:p>
        </w:tc>
        <w:tc>
          <w:tcPr>
            <w:tcW w:w="2820" w:type="dxa"/>
            <w:gridSpan w:val="2"/>
            <w:tcBorders>
              <w:bottom w:val="single" w:sz="4" w:space="0" w:color="auto"/>
            </w:tcBorders>
          </w:tcPr>
          <w:p w14:paraId="4E5FA706" w14:textId="77777777" w:rsidR="004E4086" w:rsidRDefault="004E4086" w:rsidP="00635FA3">
            <w:pPr>
              <w:pStyle w:val="Style1t"/>
            </w:pPr>
            <w:r>
              <w:t xml:space="preserve">0, 0, 0.02 </w:t>
            </w:r>
          </w:p>
          <w:p w14:paraId="46976540" w14:textId="77777777" w:rsidR="004E4086" w:rsidRPr="001A28A1" w:rsidRDefault="004E4086" w:rsidP="00635FA3">
            <w:pPr>
              <w:pStyle w:val="Style1t"/>
            </w:pPr>
            <w:r>
              <w:t xml:space="preserve">(0.02 </w:t>
            </w:r>
            <w:r w:rsidRPr="0070773F">
              <w:t>±</w:t>
            </w:r>
            <w:r>
              <w:t xml:space="preserve"> 0.01)</w:t>
            </w:r>
          </w:p>
        </w:tc>
      </w:tr>
      <w:tr w:rsidR="004E4086" w14:paraId="75E91B15" w14:textId="77777777" w:rsidTr="00635FA3">
        <w:trPr>
          <w:gridAfter w:val="1"/>
          <w:wAfter w:w="1453" w:type="dxa"/>
        </w:trPr>
        <w:tc>
          <w:tcPr>
            <w:tcW w:w="8369" w:type="dxa"/>
            <w:gridSpan w:val="4"/>
            <w:tcBorders>
              <w:left w:val="nil"/>
              <w:bottom w:val="nil"/>
              <w:right w:val="nil"/>
            </w:tcBorders>
          </w:tcPr>
          <w:p w14:paraId="53476B38" w14:textId="77777777" w:rsidR="004E4086" w:rsidRPr="00764D4B" w:rsidRDefault="004E4086" w:rsidP="00635FA3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E29A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§</w:t>
            </w:r>
            <w:r w:rsidRPr="009E29A5">
              <w:rPr>
                <w:rFonts w:ascii="Times New Roman" w:hAnsi="Times New Roman" w:cs="Times New Roman"/>
                <w:sz w:val="18"/>
                <w:szCs w:val="18"/>
              </w:rPr>
              <w:t>With the exception of entry 2 for which four crystals were analyzed.</w:t>
            </w:r>
            <w:r w:rsidRPr="00764D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22307BB6" w14:textId="77777777" w:rsidR="00F97564" w:rsidRDefault="00F97564"/>
    <w:sectPr w:rsidR="00F97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86"/>
    <w:rsid w:val="004E4086"/>
    <w:rsid w:val="00F176B7"/>
    <w:rsid w:val="00F9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F144B2"/>
  <w15:chartTrackingRefBased/>
  <w15:docId w15:val="{1C6F43CE-75CC-2244-A4DC-13D4537C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086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t">
    <w:name w:val="Style1_t"/>
    <w:basedOn w:val="Normal"/>
    <w:link w:val="Style1tChar"/>
    <w:qFormat/>
    <w:rsid w:val="004E4086"/>
    <w:pPr>
      <w:spacing w:before="120" w:after="120" w:line="240" w:lineRule="auto"/>
      <w:jc w:val="center"/>
    </w:pPr>
    <w:rPr>
      <w:rFonts w:ascii="Times" w:eastAsia="Times New Roman" w:hAnsi="Times" w:cs="Times New Roman"/>
      <w:sz w:val="18"/>
      <w:szCs w:val="18"/>
    </w:rPr>
  </w:style>
  <w:style w:type="character" w:customStyle="1" w:styleId="Style1tChar">
    <w:name w:val="Style1_t Char"/>
    <w:basedOn w:val="DefaultParagraphFont"/>
    <w:link w:val="Style1t"/>
    <w:rsid w:val="004E4086"/>
    <w:rPr>
      <w:rFonts w:ascii="Times" w:eastAsia="Times New Roman" w:hAnsi="Times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Buscagan, Trixia M.</dc:creator>
  <cp:keywords/>
  <dc:description/>
  <cp:lastModifiedBy>Buscagan, Trixia M.</cp:lastModifiedBy>
  <cp:revision>2</cp:revision>
  <dcterms:created xsi:type="dcterms:W3CDTF">2022-04-21T18:34:00Z</dcterms:created>
  <dcterms:modified xsi:type="dcterms:W3CDTF">2022-04-21T18:34:00Z</dcterms:modified>
</cp:coreProperties>
</file>