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2.jpeg" ContentType="image/jpeg"/>
  <Override PartName="/word/media/image1.jpeg" ContentType="image/jpe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pPr>
      <w:r>
        <w:rPr>
          <w:rFonts w:eastAsia="Noto Sans" w:cs="Noto Sans" w:ascii="Noto Sans" w:hAnsi="Noto Sans"/>
          <w:sz w:val="20"/>
          <w:szCs w:val="20"/>
        </w:rPr>
        <w:t xml:space="preserve">The </w:t>
      </w:r>
      <w:hyperlink r:id="rId2">
        <w:r>
          <w:rPr>
            <w:rStyle w:val="InternetLink"/>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bookmarkStart w:id="0" w:name="_cvmm3w1hmoo8"/>
      <w:bookmarkStart w:id="1" w:name="_cvmm3w1hmoo8"/>
      <w:bookmarkEnd w:id="1"/>
      <w:r>
        <w:rPr>
          <w:rFonts w:eastAsia="Noto Sans" w:cs="Noto Sans" w:ascii="Noto Sans" w:hAnsi="Noto Sans"/>
          <w:sz w:val="16"/>
          <w:szCs w:val="16"/>
        </w:rPr>
      </w:r>
    </w:p>
    <w:p>
      <w:pPr>
        <w:pStyle w:val="Normal"/>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InternetLink"/>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InternetLink"/>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InternetLink"/>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InternetLink"/>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InternetLink"/>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5550"/>
        <w:gridCol w:w="3075"/>
        <w:gridCol w:w="1095"/>
      </w:tblGrid>
      <w:tr>
        <w:trPr>
          <w:trHeight w:val="425" w:hRule="atLeast"/>
        </w:trPr>
        <w:tc>
          <w:tcPr>
            <w:tcW w:w="555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1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1"/>
              <w:right w:val="single" w:sz="8" w:space="0" w:color="000001"/>
              <w:insideH w:val="single" w:sz="8" w:space="0" w:color="000001"/>
              <w:insideV w:val="single" w:sz="8" w:space="0" w:color="000001"/>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A materials availability statement is included in the main text.</w:t>
            </w:r>
          </w:p>
        </w:tc>
        <w:tc>
          <w:tcPr>
            <w:tcW w:w="1095" w:type="dxa"/>
            <w:tcBorders>
              <w:bottom w:val="single" w:sz="8" w:space="0" w:color="000001"/>
              <w:right w:val="single" w:sz="8" w:space="0" w:color="000001"/>
              <w:insideH w:val="single" w:sz="8" w:space="0" w:color="000001"/>
              <w:insideV w:val="single" w:sz="8" w:space="0" w:color="000001"/>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shd w:fill="auto" w:val="clear"/>
          </w:tcPr>
          <w:p>
            <w:pPr>
              <w:pStyle w:val="Normal"/>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shd w:fill="auto" w:val="clear"/>
          </w:tcPr>
          <w:p>
            <w:pPr>
              <w:pStyle w:val="Normal"/>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10" w:type="dxa"/>
              <w:right w:w="120" w:type="dxa"/>
            </w:tcMar>
          </w:tcPr>
          <w:p>
            <w:pPr>
              <w:pStyle w:val="Normal"/>
              <w:rPr/>
            </w:pPr>
            <w:r>
              <w:rPr>
                <w:rFonts w:eastAsia="Noto Sans" w:cs="Noto Sans" w:ascii="Noto Sans" w:hAnsi="Noto Sans"/>
                <w:color w:val="434343"/>
                <w:sz w:val="18"/>
                <w:szCs w:val="18"/>
              </w:rPr>
              <w:t>For commercial reagents, provide supplier name, catalogue number and</w:t>
            </w:r>
            <w:hyperlink r:id="rId8">
              <w:r>
                <w:rPr>
                  <w:rStyle w:val="InternetLink"/>
                  <w:rFonts w:eastAsia="Noto Sans" w:cs="Noto Sans" w:ascii="Noto Sans" w:hAnsi="Noto Sans"/>
                  <w:color w:val="434343"/>
                  <w:sz w:val="18"/>
                  <w:szCs w:val="18"/>
                </w:rPr>
                <w:t xml:space="preserve"> </w:t>
              </w:r>
            </w:hyperlink>
            <w:hyperlink r:id="rId9">
              <w:r>
                <w:rPr>
                  <w:rStyle w:val="InternetLink"/>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1"/>
              <w:right w:val="single" w:sz="8" w:space="0" w:color="000001"/>
              <w:insideH w:val="single" w:sz="8" w:space="0" w:color="000001"/>
              <w:insideV w:val="single" w:sz="8" w:space="0" w:color="000001"/>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Supplier of antibody including catalogue number is indicated in the Methods section under ‘Acute recordings’</w:t>
            </w:r>
          </w:p>
        </w:tc>
        <w:tc>
          <w:tcPr>
            <w:tcW w:w="1095" w:type="dxa"/>
            <w:tcBorders>
              <w:bottom w:val="single" w:sz="8" w:space="0" w:color="000001"/>
              <w:right w:val="single" w:sz="8" w:space="0" w:color="000001"/>
              <w:insideH w:val="single" w:sz="8" w:space="0" w:color="000001"/>
              <w:insideV w:val="single" w:sz="8" w:space="0" w:color="000001"/>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1"/>
              <w:insideH w:val="single" w:sz="8" w:space="0" w:color="000001"/>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1"/>
              <w:insideH w:val="single" w:sz="8" w:space="0" w:color="000001"/>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1"/>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1"/>
              <w:bottom w:val="single" w:sz="8" w:space="0" w:color="000001"/>
              <w:insideH w:val="single" w:sz="8" w:space="0" w:color="000001"/>
            </w:tcBorders>
            <w:shd w:fill="auto" w:val="clear"/>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1"/>
              <w:bottom w:val="single" w:sz="8" w:space="0" w:color="000001"/>
              <w:insideH w:val="single" w:sz="8" w:space="0" w:color="000001"/>
            </w:tcBorders>
            <w:shd w:fill="auto" w:val="clear"/>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1"/>
              <w:insideH w:val="single" w:sz="8" w:space="0" w:color="000001"/>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1"/>
              <w:insideH w:val="single" w:sz="8" w:space="0" w:color="000001"/>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Details about the used mice are given in the Methods section under ‘Animals’.</w:t>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1"/>
              <w:insideH w:val="single" w:sz="8" w:space="0" w:color="000001"/>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1"/>
              <w:insideH w:val="single" w:sz="8" w:space="0" w:color="000001"/>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1"/>
              <w:insideH w:val="single" w:sz="8" w:space="0" w:color="000001"/>
            </w:tcBorders>
            <w:shd w:fill="auto" w:val="clear"/>
          </w:tcPr>
          <w:p>
            <w:pPr>
              <w:pStyle w:val="Normal"/>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1"/>
              <w:insideH w:val="single" w:sz="8" w:space="0" w:color="000001"/>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1"/>
              <w:insideH w:val="single" w:sz="8" w:space="0" w:color="000001"/>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5595"/>
        <w:gridCol w:w="3104"/>
        <w:gridCol w:w="991"/>
      </w:tblGrid>
      <w:tr>
        <w:trPr>
          <w:trHeight w:val="470" w:hRule="atLeast"/>
        </w:trPr>
        <w:tc>
          <w:tcPr>
            <w:tcW w:w="559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1"/>
              <w:insideH w:val="single" w:sz="8" w:space="0" w:color="000001"/>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1"/>
              <w:insideH w:val="single" w:sz="8" w:space="0" w:color="000001"/>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1"/>
              <w:insideH w:val="single" w:sz="8" w:space="0" w:color="000001"/>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1"/>
              <w:insideH w:val="single" w:sz="8" w:space="0" w:color="000001"/>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1"/>
              <w:insideH w:val="single" w:sz="8" w:space="0" w:color="000001"/>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r>
      <w:tr>
        <w:trPr>
          <w:trHeight w:val="373"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98"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For assembly analysis, sessions with fewer than 10 pyramidal neurons were excluded from analysis. This is indicated in the Methods section under ‘Detection of cell assemblies’. No other data exclusions were performed.</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w:t>
            </w:r>
            <w:r>
              <w:rPr>
                <w:rFonts w:eastAsia="Noto Sans" w:cs="Noto Sans" w:ascii="Noto Sans" w:hAnsi="Noto Sans"/>
                <w:color w:val="434343"/>
                <w:sz w:val="18"/>
                <w:szCs w:val="18"/>
              </w:rPr>
              <w:t>e number of times the experiment was replicated in the laboratory.</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The number of animals is given in the main text.</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The number of animals/neurons used for statistical analysis (i.e., biological replicates) is indicated in the main text.</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1"/>
              <w:insideH w:val="single" w:sz="8" w:space="0" w:color="000001"/>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1"/>
              <w:insideH w:val="single" w:sz="8" w:space="0" w:color="000001"/>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1"/>
              <w:insideH w:val="single" w:sz="8" w:space="0" w:color="000001"/>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Details about ethics approval are provide in the Methods section under ‘Animals’</w:t>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1"/>
              <w:insideH w:val="single" w:sz="8" w:space="0" w:color="000001"/>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1"/>
              <w:insideH w:val="single" w:sz="8" w:space="0" w:color="000001"/>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1"/>
              <w:insideH w:val="single" w:sz="8" w:space="0" w:color="000001"/>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5564"/>
        <w:gridCol w:w="3165"/>
        <w:gridCol w:w="976"/>
      </w:tblGrid>
      <w:tr>
        <w:trPr>
          <w:trHeight w:val="425" w:hRule="atLeast"/>
        </w:trPr>
        <w:tc>
          <w:tcPr>
            <w:tcW w:w="556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w:t>
            </w:r>
            <w:r>
              <w:rPr>
                <w:rFonts w:eastAsia="Noto Sans" w:cs="Noto Sans" w:ascii="Noto Sans" w:hAnsi="Noto Sans"/>
                <w:color w:val="434343"/>
                <w:sz w:val="18"/>
                <w:szCs w:val="18"/>
              </w:rPr>
              <w:t>rt if sample or data points were omitted from analysis. If yes, report if this was due to attrition or intentional exclusion and provide justification.</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bookmarkStart w:id="3" w:name="__DdeLink__3301_118850869"/>
            <w:bookmarkEnd w:id="3"/>
            <w:r>
              <w:rPr>
                <w:rFonts w:eastAsia="Noto Sans" w:cs="Noto Sans" w:ascii="Noto Sans" w:hAnsi="Noto Sans"/>
                <w:bCs/>
                <w:color w:val="434343"/>
                <w:sz w:val="18"/>
                <w:szCs w:val="18"/>
              </w:rPr>
              <w:t>For assembly analysis, sessions with fewer than 10 pyramidal neurons were excluded from analysis. This is indicated in the Methods section under ‘Detection of cell assemblies’. No other data exclusions were performed.</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1"/>
              <w:insideH w:val="single" w:sz="8" w:space="0" w:color="000001"/>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1"/>
              <w:insideH w:val="single" w:sz="8" w:space="0" w:color="000001"/>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1"/>
              <w:insideH w:val="single" w:sz="8" w:space="0" w:color="000001"/>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The test used for each comparison are indicated in the main text. A justification for the use of different tests is provided in the Methods section under ‘Statistical Analysis’.</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1"/>
              <w:insideH w:val="single" w:sz="8" w:space="0" w:color="000001"/>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1"/>
              <w:insideH w:val="single" w:sz="8" w:space="0" w:color="000001"/>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1"/>
              <w:insideH w:val="single" w:sz="8" w:space="0" w:color="000001"/>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Accession number will be provided upon acceptance.</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1"/>
              <w:insideH w:val="single" w:sz="8" w:space="0" w:color="000001"/>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1"/>
              <w:insideH w:val="single" w:sz="8" w:space="0" w:color="000001"/>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1"/>
              <w:insideH w:val="single" w:sz="8" w:space="0" w:color="000001"/>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availability statement</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Accession number will be provided upon acceptance.</w:t>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4" w:name="_qing2gdaj9k6"/>
      <w:bookmarkEnd w:id="4"/>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noVBand="1" w:noHBand="1" w:lastColumn="0" w:firstColumn="0" w:lastRow="0" w:firstRow="0"/>
      </w:tblPr>
      <w:tblGrid>
        <w:gridCol w:w="5489"/>
        <w:gridCol w:w="3330"/>
        <w:gridCol w:w="856"/>
      </w:tblGrid>
      <w:tr>
        <w:trPr>
          <w:trHeight w:val="500" w:hRule="atLeast"/>
        </w:trPr>
        <w:tc>
          <w:tcPr>
            <w:tcW w:w="54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2F2F2" w:val="clear"/>
            <w:tcMar>
              <w:left w:w="90" w:type="dxa"/>
            </w:tcM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1"/>
              <w:bottom w:val="single" w:sz="8" w:space="0" w:color="000001"/>
              <w:right w:val="single" w:sz="8" w:space="0" w:color="000001"/>
              <w:insideH w:val="single" w:sz="8" w:space="0" w:color="000001"/>
              <w:insideV w:val="single" w:sz="8" w:space="0" w:color="000001"/>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We followed ARRIVE guidelines with the exeception of blinding (not done) and randomisation, (not applicable). This is stated in the Methods section under ‘Statistical Analysis’.</w:t>
            </w:r>
          </w:p>
        </w:tc>
        <w:tc>
          <w:tcPr>
            <w:tcW w:w="856" w:type="dxa"/>
            <w:tcBorders>
              <w:bottom w:val="single" w:sz="8" w:space="0" w:color="000001"/>
              <w:right w:val="single" w:sz="8" w:space="0" w:color="000001"/>
              <w:insideH w:val="single" w:sz="8" w:space="0" w:color="000001"/>
              <w:insideV w:val="single" w:sz="8" w:space="0" w:color="000001"/>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5" w:name="_cm0qssfkw66b"/>
      <w:bookmarkEnd w:id="5"/>
      <w:r>
        <w:rPr/>
        <mc:AlternateContent>
          <mc:Choice Requires="wps">
            <w:drawing>
              <wp:inline distT="0" distB="0" distL="114300" distR="114300">
                <wp:extent cx="127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720" cy="72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0pt">
                <w10:wrap type="none"/>
                <v:fill o:detectmouseclick="t" type="solid" color2="#5f5f5f"/>
                <v:stroke color="#3465a4" joinstyle="round" endcap="flat"/>
              </v:rect>
            </w:pict>
          </mc:Fallback>
        </mc:AlternateContent>
      </w:r>
    </w:p>
    <w:p>
      <w:pPr>
        <w:pStyle w:val="Normal"/>
        <w:rPr/>
      </w:pPr>
      <w:r>
        <w:rPr/>
      </w:r>
    </w:p>
    <w:p>
      <w:pPr>
        <w:pStyle w:val="Normal"/>
        <w:rPr/>
      </w:pPr>
      <w:r>
        <w:rPr/>
        <w:t xml:space="preserve">* We provide the following guidance regarding transparent reporting and statistics; we also refer authors to </w:t>
      </w:r>
      <w:hyperlink r:id="rId10">
        <w:r>
          <w:rPr>
            <w:rStyle w:val="InternetLink"/>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header="720" w:top="1360" w:footer="720" w:bottom="777" w:gutter="0"/>
      <w:pgNumType w:start="1" w:fmt="decimal"/>
      <w:formProt w:val="false"/>
      <w:titlePg/>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513" w:leader="none"/>
        <w:tab w:val="right" w:pos="9026" w:leader="none"/>
      </w:tabs>
      <w:jc w:val="center"/>
      <w:rPr/>
    </w:pPr>
    <w:r>
      <w:rPr>
        <w:color w:val="000000"/>
      </w:rPr>
      <w:fldChar w:fldCharType="begin"/>
    </w:r>
    <w:r>
      <w:instrText> PAGE </w:instrText>
    </w:r>
    <w:r>
      <w:fldChar w:fldCharType="separate"/>
    </w:r>
    <w:r>
      <w:t>5</w:t>
    </w:r>
    <w:r>
      <w:fldChar w:fldCharType="end"/>
    </w:r>
  </w:p>
  <w:p>
    <w:pPr>
      <w:pStyle w:val="Normal"/>
      <w:pBdr/>
      <w:tabs>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72" t="0" r="0" b="0"/>
                  <a:stretch>
                    <a:fillRect/>
                  </a:stretch>
                </pic:blipFill>
                <pic:spPr bwMode="auto">
                  <a:xfrm>
                    <a:off x="0" y="0"/>
                    <a:ext cx="3390900" cy="1038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Calibri"/>
      <w:color w:val="auto"/>
      <w:sz w:val="22"/>
      <w:szCs w:val="22"/>
      <w:lang w:val="en-US" w:eastAsia="en-GB" w:bidi="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4e2c31"/>
    <w:pPr>
      <w:tabs>
        <w:tab w:val="center" w:pos="4513" w:leader="none"/>
        <w:tab w:val="right" w:pos="9026" w:leader="none"/>
      </w:tabs>
    </w:pPr>
    <w:rPr/>
  </w:style>
  <w:style w:type="paragraph" w:styleId="Footer">
    <w:name w:val="Footer"/>
    <w:basedOn w:val="Normal"/>
    <w:link w:val="FooterChar"/>
    <w:uiPriority w:val="99"/>
    <w:unhideWhenUsed/>
    <w:rsid w:val="004e2c31"/>
    <w:pPr>
      <w:tabs>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LibreOffice/5.2.4.2$Linux_X86_64 LibreOffice_project/3d5603e1122f0f102b62521720ab13a38a4e0eb0</Application>
  <Pages>5</Pages>
  <Words>1456</Words>
  <Characters>8769</Characters>
  <CharactersWithSpaces>10096</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Jonas Sauer</cp:lastModifiedBy>
  <dcterms:modified xsi:type="dcterms:W3CDTF">2022-04-21T17:45:16Z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